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3542E">
      <w:pPr>
        <w:keepNext w:val="0"/>
        <w:keepLines w:val="0"/>
        <w:pageBreakBefore w:val="0"/>
        <w:widowControl/>
        <w:kinsoku/>
        <w:wordWrap/>
        <w:overflowPunct/>
        <w:topLinePunct w:val="0"/>
        <w:autoSpaceDE w:val="0"/>
        <w:autoSpaceDN w:val="0"/>
        <w:bidi w:val="0"/>
        <w:adjustRightInd w:val="0"/>
        <w:snapToGrid w:val="0"/>
        <w:spacing w:before="124" w:line="219" w:lineRule="auto"/>
        <w:ind w:left="6652"/>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预案编号：</w:t>
      </w:r>
    </w:p>
    <w:p w14:paraId="0E17E994">
      <w:pPr>
        <w:keepNext w:val="0"/>
        <w:keepLines w:val="0"/>
        <w:pageBreakBefore w:val="0"/>
        <w:widowControl/>
        <w:kinsoku/>
        <w:wordWrap/>
        <w:overflowPunct/>
        <w:topLinePunct w:val="0"/>
        <w:autoSpaceDE w:val="0"/>
        <w:autoSpaceDN w:val="0"/>
        <w:bidi w:val="0"/>
        <w:adjustRightInd w:val="0"/>
        <w:snapToGrid w:val="0"/>
        <w:spacing w:before="183" w:line="218" w:lineRule="auto"/>
        <w:ind w:left="6412"/>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预案版本号：</w:t>
      </w:r>
    </w:p>
    <w:p w14:paraId="1F15E58F">
      <w:pPr>
        <w:pStyle w:val="3"/>
        <w:keepNext w:val="0"/>
        <w:keepLines w:val="0"/>
        <w:pageBreakBefore w:val="0"/>
        <w:widowControl/>
        <w:kinsoku/>
        <w:wordWrap/>
        <w:overflowPunct/>
        <w:topLinePunct w:val="0"/>
        <w:autoSpaceDE w:val="0"/>
        <w:autoSpaceDN w:val="0"/>
        <w:bidi w:val="0"/>
        <w:adjustRightInd w:val="0"/>
        <w:snapToGrid w:val="0"/>
        <w:spacing w:line="287" w:lineRule="auto"/>
        <w:rPr>
          <w:color w:val="auto"/>
          <w:spacing w:val="0"/>
          <w:w w:val="100"/>
          <w:position w:val="0"/>
          <w:highlight w:val="none"/>
        </w:rPr>
      </w:pPr>
    </w:p>
    <w:p w14:paraId="740BE38A">
      <w:pPr>
        <w:pStyle w:val="3"/>
        <w:keepNext w:val="0"/>
        <w:keepLines w:val="0"/>
        <w:pageBreakBefore w:val="0"/>
        <w:widowControl/>
        <w:kinsoku/>
        <w:wordWrap/>
        <w:overflowPunct/>
        <w:topLinePunct w:val="0"/>
        <w:autoSpaceDE w:val="0"/>
        <w:autoSpaceDN w:val="0"/>
        <w:bidi w:val="0"/>
        <w:adjustRightInd w:val="0"/>
        <w:snapToGrid w:val="0"/>
        <w:spacing w:line="287" w:lineRule="auto"/>
        <w:rPr>
          <w:color w:val="auto"/>
          <w:spacing w:val="0"/>
          <w:w w:val="100"/>
          <w:position w:val="0"/>
          <w:highlight w:val="none"/>
        </w:rPr>
      </w:pPr>
    </w:p>
    <w:p w14:paraId="2CC76814">
      <w:pPr>
        <w:pStyle w:val="3"/>
        <w:keepNext w:val="0"/>
        <w:keepLines w:val="0"/>
        <w:pageBreakBefore w:val="0"/>
        <w:widowControl/>
        <w:kinsoku/>
        <w:wordWrap/>
        <w:overflowPunct/>
        <w:topLinePunct w:val="0"/>
        <w:autoSpaceDE w:val="0"/>
        <w:autoSpaceDN w:val="0"/>
        <w:bidi w:val="0"/>
        <w:adjustRightInd w:val="0"/>
        <w:snapToGrid w:val="0"/>
        <w:spacing w:line="288" w:lineRule="auto"/>
        <w:rPr>
          <w:color w:val="auto"/>
          <w:spacing w:val="0"/>
          <w:w w:val="100"/>
          <w:position w:val="0"/>
          <w:highlight w:val="none"/>
        </w:rPr>
      </w:pPr>
    </w:p>
    <w:p w14:paraId="7AC4CC6C">
      <w:pPr>
        <w:pStyle w:val="3"/>
        <w:keepNext w:val="0"/>
        <w:keepLines w:val="0"/>
        <w:pageBreakBefore w:val="0"/>
        <w:widowControl/>
        <w:kinsoku/>
        <w:wordWrap/>
        <w:overflowPunct/>
        <w:topLinePunct w:val="0"/>
        <w:autoSpaceDE w:val="0"/>
        <w:autoSpaceDN w:val="0"/>
        <w:bidi w:val="0"/>
        <w:adjustRightInd w:val="0"/>
        <w:snapToGrid w:val="0"/>
        <w:spacing w:line="288" w:lineRule="auto"/>
        <w:rPr>
          <w:color w:val="auto"/>
          <w:spacing w:val="0"/>
          <w:w w:val="100"/>
          <w:position w:val="0"/>
          <w:highlight w:val="none"/>
        </w:rPr>
      </w:pPr>
    </w:p>
    <w:p w14:paraId="5D6FA92C">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outlineLvl w:val="9"/>
        <w:rPr>
          <w:rFonts w:ascii="仿宋" w:hAnsi="仿宋" w:eastAsia="仿宋" w:cs="仿宋"/>
          <w:color w:val="auto"/>
          <w:spacing w:val="0"/>
          <w:w w:val="100"/>
          <w:position w:val="0"/>
          <w:sz w:val="52"/>
          <w:szCs w:val="52"/>
          <w:highlight w:val="none"/>
        </w:rPr>
      </w:pPr>
      <w:r>
        <w:rPr>
          <w:rFonts w:ascii="仿宋" w:hAnsi="仿宋" w:eastAsia="仿宋" w:cs="仿宋"/>
          <w:b/>
          <w:bCs/>
          <w:color w:val="auto"/>
          <w:spacing w:val="0"/>
          <w:w w:val="100"/>
          <w:position w:val="0"/>
          <w:sz w:val="52"/>
          <w:szCs w:val="52"/>
          <w:highlight w:val="none"/>
        </w:rPr>
        <w:t>伊春市乌翠区集中式地表水饮用水</w:t>
      </w:r>
    </w:p>
    <w:p w14:paraId="03A2E879">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outlineLvl w:val="9"/>
        <w:rPr>
          <w:rFonts w:ascii="仿宋" w:hAnsi="仿宋" w:eastAsia="仿宋" w:cs="仿宋"/>
          <w:color w:val="auto"/>
          <w:spacing w:val="0"/>
          <w:w w:val="100"/>
          <w:position w:val="0"/>
          <w:sz w:val="52"/>
          <w:szCs w:val="52"/>
          <w:highlight w:val="none"/>
        </w:rPr>
      </w:pPr>
      <w:r>
        <w:rPr>
          <w:rFonts w:ascii="仿宋" w:hAnsi="仿宋" w:eastAsia="仿宋" w:cs="仿宋"/>
          <w:b/>
          <w:bCs/>
          <w:color w:val="auto"/>
          <w:spacing w:val="0"/>
          <w:w w:val="100"/>
          <w:position w:val="0"/>
          <w:sz w:val="52"/>
          <w:szCs w:val="52"/>
          <w:highlight w:val="none"/>
        </w:rPr>
        <w:t>水源地突发环境事件专项应急预案</w:t>
      </w:r>
    </w:p>
    <w:p w14:paraId="21BB1FF0">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outlineLvl w:val="0"/>
        <w:rPr>
          <w:rFonts w:ascii="仿宋" w:hAnsi="仿宋" w:eastAsia="仿宋" w:cs="仿宋"/>
          <w:color w:val="auto"/>
          <w:spacing w:val="0"/>
          <w:w w:val="100"/>
          <w:position w:val="0"/>
          <w:sz w:val="52"/>
          <w:szCs w:val="52"/>
          <w:highlight w:val="none"/>
        </w:rPr>
      </w:pPr>
      <w:bookmarkStart w:id="0" w:name="_Toc17509"/>
      <w:bookmarkStart w:id="1" w:name="_Toc6760"/>
      <w:bookmarkStart w:id="2" w:name="_Toc8392"/>
      <w:bookmarkStart w:id="3" w:name="_Toc15419"/>
      <w:bookmarkStart w:id="4" w:name="_Toc20854"/>
      <w:bookmarkStart w:id="5" w:name="_Toc11092"/>
      <w:bookmarkStart w:id="6" w:name="_Toc30067"/>
      <w:r>
        <w:rPr>
          <w:rFonts w:ascii="仿宋" w:hAnsi="仿宋" w:eastAsia="仿宋" w:cs="仿宋"/>
          <w:b/>
          <w:bCs/>
          <w:color w:val="auto"/>
          <w:spacing w:val="0"/>
          <w:w w:val="100"/>
          <w:position w:val="0"/>
          <w:sz w:val="52"/>
          <w:szCs w:val="52"/>
          <w:highlight w:val="none"/>
        </w:rPr>
        <w:t>编制说明</w:t>
      </w:r>
      <w:bookmarkEnd w:id="0"/>
      <w:bookmarkEnd w:id="1"/>
      <w:bookmarkEnd w:id="2"/>
      <w:bookmarkEnd w:id="3"/>
      <w:bookmarkEnd w:id="4"/>
      <w:bookmarkEnd w:id="5"/>
      <w:bookmarkEnd w:id="6"/>
    </w:p>
    <w:p w14:paraId="665BF492">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65FF8056">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7747EE17">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66EEC229">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37DA406C">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283A882B">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2FEB75A6">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7F8B74B8">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5F5E8FE5">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6789D35A">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42E10800">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00E1203A">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3840F88D">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31871539">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0BA7FD0D">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4553E590">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0D1EB65B">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063ABE53">
      <w:pPr>
        <w:pStyle w:val="3"/>
        <w:keepNext w:val="0"/>
        <w:keepLines w:val="0"/>
        <w:pageBreakBefore w:val="0"/>
        <w:widowControl/>
        <w:kinsoku/>
        <w:wordWrap/>
        <w:overflowPunct/>
        <w:topLinePunct w:val="0"/>
        <w:autoSpaceDE w:val="0"/>
        <w:autoSpaceDN w:val="0"/>
        <w:bidi w:val="0"/>
        <w:adjustRightInd w:val="0"/>
        <w:snapToGrid w:val="0"/>
        <w:spacing w:line="243" w:lineRule="auto"/>
        <w:rPr>
          <w:color w:val="auto"/>
          <w:spacing w:val="0"/>
          <w:w w:val="100"/>
          <w:position w:val="0"/>
          <w:highlight w:val="none"/>
        </w:rPr>
      </w:pPr>
    </w:p>
    <w:p w14:paraId="38EA5DBF">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374B2419">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5AE8DE4D">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099C6FD8">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34739627">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5F0878DC">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46B63BEC">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36C76BD5">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10164745">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12EB92FB">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outlineLvl w:val="9"/>
        <w:rPr>
          <w:rFonts w:ascii="仿宋" w:hAnsi="仿宋" w:eastAsia="仿宋" w:cs="仿宋"/>
          <w:color w:val="auto"/>
          <w:spacing w:val="0"/>
          <w:w w:val="100"/>
          <w:position w:val="0"/>
          <w:sz w:val="28"/>
          <w:szCs w:val="28"/>
          <w:highlight w:val="none"/>
        </w:rPr>
      </w:pPr>
      <w:r>
        <w:rPr>
          <w:rFonts w:ascii="仿宋" w:hAnsi="仿宋" w:eastAsia="仿宋" w:cs="仿宋"/>
          <w:b/>
          <w:bCs/>
          <w:color w:val="auto"/>
          <w:spacing w:val="0"/>
          <w:w w:val="100"/>
          <w:position w:val="0"/>
          <w:sz w:val="28"/>
          <w:szCs w:val="28"/>
          <w:highlight w:val="none"/>
        </w:rPr>
        <w:t>编制单位：乌翠区人民政府</w:t>
      </w:r>
    </w:p>
    <w:p w14:paraId="155FD500">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outlineLvl w:val="9"/>
        <w:rPr>
          <w:rFonts w:ascii="仿宋" w:hAnsi="仿宋" w:eastAsia="仿宋" w:cs="仿宋"/>
          <w:color w:val="auto"/>
          <w:spacing w:val="0"/>
          <w:w w:val="100"/>
          <w:position w:val="0"/>
          <w:sz w:val="28"/>
          <w:szCs w:val="28"/>
          <w:highlight w:val="none"/>
        </w:rPr>
      </w:pPr>
      <w:r>
        <w:rPr>
          <w:rFonts w:ascii="仿宋" w:hAnsi="仿宋" w:eastAsia="仿宋" w:cs="仿宋"/>
          <w:b/>
          <w:bCs/>
          <w:color w:val="auto"/>
          <w:spacing w:val="0"/>
          <w:w w:val="100"/>
          <w:position w:val="0"/>
          <w:sz w:val="28"/>
          <w:szCs w:val="28"/>
          <w:highlight w:val="none"/>
        </w:rPr>
        <w:t>编制时间：二〇二</w:t>
      </w:r>
      <w:r>
        <w:rPr>
          <w:rFonts w:hint="eastAsia" w:ascii="仿宋" w:hAnsi="仿宋" w:eastAsia="仿宋" w:cs="仿宋"/>
          <w:b/>
          <w:bCs/>
          <w:color w:val="auto"/>
          <w:spacing w:val="0"/>
          <w:w w:val="100"/>
          <w:position w:val="0"/>
          <w:sz w:val="28"/>
          <w:szCs w:val="28"/>
          <w:highlight w:val="none"/>
          <w:lang w:val="en-US" w:eastAsia="zh-CN"/>
        </w:rPr>
        <w:t>六</w:t>
      </w:r>
      <w:r>
        <w:rPr>
          <w:rFonts w:ascii="仿宋" w:hAnsi="仿宋" w:eastAsia="仿宋" w:cs="仿宋"/>
          <w:b/>
          <w:bCs/>
          <w:color w:val="auto"/>
          <w:spacing w:val="0"/>
          <w:w w:val="100"/>
          <w:position w:val="0"/>
          <w:sz w:val="28"/>
          <w:szCs w:val="28"/>
          <w:highlight w:val="none"/>
        </w:rPr>
        <w:t>年</w:t>
      </w:r>
      <w:r>
        <w:rPr>
          <w:rFonts w:hint="eastAsia" w:ascii="仿宋" w:hAnsi="仿宋" w:eastAsia="仿宋" w:cs="仿宋"/>
          <w:b/>
          <w:bCs/>
          <w:color w:val="auto"/>
          <w:spacing w:val="0"/>
          <w:w w:val="100"/>
          <w:position w:val="0"/>
          <w:sz w:val="28"/>
          <w:szCs w:val="28"/>
          <w:highlight w:val="none"/>
          <w:lang w:val="en-US" w:eastAsia="zh-CN"/>
        </w:rPr>
        <w:t>九</w:t>
      </w:r>
      <w:r>
        <w:rPr>
          <w:rFonts w:ascii="仿宋" w:hAnsi="仿宋" w:eastAsia="仿宋" w:cs="仿宋"/>
          <w:b/>
          <w:bCs/>
          <w:color w:val="auto"/>
          <w:spacing w:val="0"/>
          <w:w w:val="100"/>
          <w:position w:val="0"/>
          <w:sz w:val="28"/>
          <w:szCs w:val="28"/>
          <w:highlight w:val="none"/>
        </w:rPr>
        <w:t>月</w:t>
      </w:r>
    </w:p>
    <w:p w14:paraId="5FA10B11">
      <w:pPr>
        <w:keepNext w:val="0"/>
        <w:keepLines w:val="0"/>
        <w:pageBreakBefore w:val="0"/>
        <w:widowControl/>
        <w:kinsoku/>
        <w:wordWrap/>
        <w:overflowPunct/>
        <w:topLinePunct w:val="0"/>
        <w:autoSpaceDE w:val="0"/>
        <w:autoSpaceDN w:val="0"/>
        <w:bidi w:val="0"/>
        <w:adjustRightInd w:val="0"/>
        <w:snapToGrid w:val="0"/>
        <w:spacing w:line="218" w:lineRule="auto"/>
        <w:rPr>
          <w:rFonts w:ascii="仿宋" w:hAnsi="仿宋" w:eastAsia="仿宋" w:cs="仿宋"/>
          <w:color w:val="auto"/>
          <w:spacing w:val="0"/>
          <w:w w:val="100"/>
          <w:position w:val="0"/>
          <w:sz w:val="28"/>
          <w:szCs w:val="28"/>
          <w:highlight w:val="none"/>
        </w:rPr>
        <w:sectPr>
          <w:pgSz w:w="11907" w:h="16839"/>
          <w:pgMar w:top="1440" w:right="1800" w:bottom="1440" w:left="1800" w:header="0" w:footer="0" w:gutter="0"/>
          <w:cols w:space="720" w:num="1"/>
        </w:sectPr>
      </w:pPr>
    </w:p>
    <w:p w14:paraId="26C220F8">
      <w:pPr>
        <w:keepNext w:val="0"/>
        <w:keepLines w:val="0"/>
        <w:pageBreakBefore w:val="0"/>
        <w:widowControl/>
        <w:kinsoku/>
        <w:wordWrap/>
        <w:overflowPunct/>
        <w:topLinePunct w:val="0"/>
        <w:autoSpaceDE w:val="0"/>
        <w:autoSpaceDN w:val="0"/>
        <w:bidi w:val="0"/>
        <w:adjustRightInd w:val="0"/>
        <w:snapToGrid w:val="0"/>
        <w:spacing w:before="180" w:line="218" w:lineRule="auto"/>
        <w:jc w:val="center"/>
        <w:rPr>
          <w:rFonts w:ascii="仿宋" w:hAnsi="仿宋" w:eastAsia="仿宋" w:cs="仿宋"/>
          <w:b/>
          <w:bCs/>
          <w:color w:val="auto"/>
          <w:spacing w:val="0"/>
          <w:w w:val="100"/>
          <w:position w:val="0"/>
          <w:sz w:val="28"/>
          <w:szCs w:val="28"/>
          <w:highlight w:val="none"/>
        </w:rPr>
      </w:pPr>
      <w:r>
        <w:rPr>
          <w:rFonts w:ascii="仿宋" w:hAnsi="仿宋" w:eastAsia="仿宋" w:cs="仿宋"/>
          <w:b/>
          <w:bCs/>
          <w:color w:val="auto"/>
          <w:spacing w:val="0"/>
          <w:w w:val="100"/>
          <w:position w:val="0"/>
          <w:sz w:val="28"/>
          <w:szCs w:val="28"/>
          <w:highlight w:val="none"/>
        </w:rPr>
        <w:t>《伊春市乌翠区集中式地表水饮用水水源地</w:t>
      </w:r>
    </w:p>
    <w:p w14:paraId="4516473B">
      <w:pPr>
        <w:keepNext w:val="0"/>
        <w:keepLines w:val="0"/>
        <w:pageBreakBefore w:val="0"/>
        <w:widowControl/>
        <w:kinsoku/>
        <w:wordWrap/>
        <w:overflowPunct/>
        <w:topLinePunct w:val="0"/>
        <w:autoSpaceDE w:val="0"/>
        <w:autoSpaceDN w:val="0"/>
        <w:bidi w:val="0"/>
        <w:adjustRightInd w:val="0"/>
        <w:snapToGrid w:val="0"/>
        <w:spacing w:before="180" w:line="218" w:lineRule="auto"/>
        <w:jc w:val="center"/>
        <w:rPr>
          <w:rFonts w:ascii="仿宋" w:hAnsi="仿宋" w:eastAsia="仿宋" w:cs="仿宋"/>
          <w:color w:val="auto"/>
          <w:spacing w:val="0"/>
          <w:w w:val="100"/>
          <w:position w:val="0"/>
          <w:sz w:val="28"/>
          <w:szCs w:val="28"/>
          <w:highlight w:val="none"/>
        </w:rPr>
      </w:pPr>
      <w:r>
        <w:rPr>
          <w:rFonts w:ascii="仿宋" w:hAnsi="仿宋" w:eastAsia="仿宋" w:cs="仿宋"/>
          <w:b/>
          <w:bCs/>
          <w:color w:val="auto"/>
          <w:spacing w:val="0"/>
          <w:w w:val="100"/>
          <w:position w:val="0"/>
          <w:sz w:val="28"/>
          <w:szCs w:val="28"/>
          <w:highlight w:val="none"/>
        </w:rPr>
        <w:t>突发环境事件专项应急预案》编制说明</w:t>
      </w:r>
    </w:p>
    <w:p w14:paraId="2FCB7E52">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7" w:name="_Toc31821"/>
      <w:bookmarkStart w:id="8" w:name="_Toc16917"/>
      <w:r>
        <w:rPr>
          <w:rFonts w:ascii="Times New Roman" w:hAnsi="Times New Roman" w:eastAsia="Times New Roman" w:cs="Times New Roman"/>
          <w:b/>
          <w:bCs/>
          <w:color w:val="auto"/>
          <w:spacing w:val="0"/>
          <w:w w:val="100"/>
          <w:position w:val="0"/>
          <w:sz w:val="28"/>
          <w:szCs w:val="28"/>
          <w:highlight w:val="none"/>
        </w:rPr>
        <w:t>1</w:t>
      </w:r>
      <w:r>
        <w:rPr>
          <w:rFonts w:hint="eastAsia" w:ascii="Times New Roman" w:hAnsi="Times New Roman" w:eastAsia="宋体" w:cs="Times New Roman"/>
          <w:b/>
          <w:bCs/>
          <w:color w:val="auto"/>
          <w:spacing w:val="0"/>
          <w:w w:val="100"/>
          <w:position w:val="0"/>
          <w:sz w:val="28"/>
          <w:szCs w:val="28"/>
          <w:highlight w:val="none"/>
          <w:lang w:val="en-US" w:eastAsia="zh-CN"/>
        </w:rPr>
        <w:t xml:space="preserve"> </w:t>
      </w:r>
      <w:r>
        <w:rPr>
          <w:rFonts w:ascii="仿宋" w:hAnsi="仿宋" w:eastAsia="仿宋" w:cs="仿宋"/>
          <w:b/>
          <w:bCs/>
          <w:color w:val="auto"/>
          <w:spacing w:val="0"/>
          <w:w w:val="100"/>
          <w:position w:val="0"/>
          <w:sz w:val="28"/>
          <w:szCs w:val="28"/>
          <w:highlight w:val="none"/>
        </w:rPr>
        <w:t>编制背景</w:t>
      </w:r>
      <w:bookmarkEnd w:id="7"/>
      <w:bookmarkEnd w:id="8"/>
    </w:p>
    <w:p w14:paraId="38A8CCA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rPr>
      </w:pPr>
      <w:r>
        <w:rPr>
          <w:rFonts w:hint="default" w:ascii="Times New Roman" w:hAnsi="Times New Roman" w:eastAsia="仿宋" w:cs="Times New Roman"/>
          <w:color w:val="auto"/>
          <w:spacing w:val="0"/>
          <w:w w:val="100"/>
          <w:position w:val="0"/>
          <w:sz w:val="28"/>
          <w:szCs w:val="28"/>
          <w:highlight w:val="none"/>
        </w:rPr>
        <w:t>西山水库位于伊春市乌翠区西北2km伊春河干流上，坝址地理坐标为东经128°27′～128°41′，北纬47°36′～47°51′。水库由挡石河、翠峦河、</w:t>
      </w:r>
      <w:r>
        <w:rPr>
          <w:rFonts w:hint="eastAsia" w:ascii="Times New Roman" w:hAnsi="Times New Roman" w:eastAsia="仿宋" w:cs="Times New Roman"/>
          <w:color w:val="auto"/>
          <w:spacing w:val="0"/>
          <w:w w:val="100"/>
          <w:position w:val="0"/>
          <w:sz w:val="28"/>
          <w:szCs w:val="28"/>
          <w:highlight w:val="none"/>
          <w:lang w:eastAsia="zh-CN"/>
        </w:rPr>
        <w:t>么河</w:t>
      </w:r>
      <w:r>
        <w:rPr>
          <w:rFonts w:hint="default" w:ascii="Times New Roman" w:hAnsi="Times New Roman" w:eastAsia="仿宋" w:cs="Times New Roman"/>
          <w:color w:val="auto"/>
          <w:spacing w:val="0"/>
          <w:w w:val="100"/>
          <w:position w:val="0"/>
          <w:sz w:val="28"/>
          <w:szCs w:val="28"/>
          <w:highlight w:val="none"/>
        </w:rPr>
        <w:t>汇水而成。挡石河全长36公里，河深1米，河宽12</w:t>
      </w:r>
      <w:r>
        <w:rPr>
          <w:rFonts w:hint="eastAsia" w:ascii="Times New Roman" w:hAnsi="Times New Roman" w:eastAsia="仿宋" w:cs="Times New Roman"/>
          <w:color w:val="auto"/>
          <w:spacing w:val="0"/>
          <w:w w:val="100"/>
          <w:position w:val="0"/>
          <w:sz w:val="28"/>
          <w:szCs w:val="28"/>
          <w:highlight w:val="none"/>
          <w:lang w:eastAsia="zh-CN"/>
        </w:rPr>
        <w:t>～</w:t>
      </w:r>
      <w:r>
        <w:rPr>
          <w:rFonts w:hint="default" w:ascii="Times New Roman" w:hAnsi="Times New Roman" w:eastAsia="仿宋" w:cs="Times New Roman"/>
          <w:color w:val="auto"/>
          <w:spacing w:val="0"/>
          <w:w w:val="100"/>
          <w:position w:val="0"/>
          <w:sz w:val="28"/>
          <w:szCs w:val="28"/>
          <w:highlight w:val="none"/>
        </w:rPr>
        <w:t>25米</w:t>
      </w:r>
      <w:r>
        <w:rPr>
          <w:rFonts w:hint="eastAsia" w:ascii="Times New Roman" w:hAnsi="Times New Roman" w:eastAsia="仿宋" w:cs="Times New Roman"/>
          <w:color w:val="auto"/>
          <w:spacing w:val="0"/>
          <w:w w:val="100"/>
          <w:position w:val="0"/>
          <w:sz w:val="28"/>
          <w:szCs w:val="28"/>
          <w:highlight w:val="none"/>
          <w:lang w:eastAsia="zh-CN"/>
        </w:rPr>
        <w:t>，</w:t>
      </w:r>
      <w:r>
        <w:rPr>
          <w:rFonts w:hint="default" w:ascii="Times New Roman" w:hAnsi="Times New Roman" w:eastAsia="仿宋" w:cs="Times New Roman"/>
          <w:color w:val="auto"/>
          <w:spacing w:val="0"/>
          <w:w w:val="100"/>
          <w:position w:val="0"/>
          <w:sz w:val="28"/>
          <w:szCs w:val="28"/>
          <w:highlight w:val="none"/>
        </w:rPr>
        <w:t>发源于冲锋经营所北挡石山和友好区交界处分水岭南坡，和翠峦河汇合成伊春河，它有两条较大支流，即太平河和高岩河。翠峦河全长64公里，河深0.30～1米，宽19～30米。有两个源头，一个发源于开源河经营林场实验村北额头山西侧。另一个发源于该林场和绥棱林业局交界处丁字山东侧，此河有两大支流，即尖山河和扶育河。西山水库占地面积11.54平方公里，属于大型水库，控制流域面积1613平方公里，占全流域面积65.4%。</w:t>
      </w:r>
    </w:p>
    <w:p w14:paraId="1A59F15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eastAsia" w:ascii="仿宋" w:hAnsi="仿宋" w:eastAsia="仿宋" w:cs="仿宋"/>
          <w:color w:val="auto"/>
          <w:spacing w:val="0"/>
          <w:w w:val="100"/>
          <w:position w:val="0"/>
          <w:sz w:val="28"/>
          <w:szCs w:val="28"/>
          <w:highlight w:val="none"/>
          <w:lang w:val="en-US" w:eastAsia="zh-CN"/>
        </w:rPr>
      </w:pPr>
      <w:r>
        <w:rPr>
          <w:rFonts w:hint="default" w:ascii="Times New Roman" w:hAnsi="Times New Roman" w:eastAsia="仿宋" w:cs="Times New Roman"/>
          <w:color w:val="auto"/>
          <w:spacing w:val="0"/>
          <w:w w:val="100"/>
          <w:position w:val="0"/>
          <w:sz w:val="28"/>
          <w:szCs w:val="28"/>
          <w:highlight w:val="none"/>
        </w:rPr>
        <w:t>为建立健全西山水库饮用水源保护区的环境污染事故应急机制，提高乌翠区对饮用水源保护区突发环境污染事件的处置能力，维护社会稳定，保障公众生命健康和财产安全，保护水环境，促进社会全面、协调、可持续发展，乌翠区人民政府于202</w:t>
      </w:r>
      <w:r>
        <w:rPr>
          <w:rFonts w:hint="default" w:ascii="Times New Roman" w:hAnsi="Times New Roman" w:eastAsia="仿宋" w:cs="Times New Roman"/>
          <w:color w:val="auto"/>
          <w:spacing w:val="0"/>
          <w:w w:val="100"/>
          <w:position w:val="0"/>
          <w:sz w:val="28"/>
          <w:szCs w:val="28"/>
          <w:highlight w:val="none"/>
          <w:lang w:val="en-US" w:eastAsia="zh-CN"/>
        </w:rPr>
        <w:t>6</w:t>
      </w:r>
      <w:r>
        <w:rPr>
          <w:rFonts w:hint="default" w:ascii="Times New Roman" w:hAnsi="Times New Roman" w:eastAsia="仿宋" w:cs="Times New Roman"/>
          <w:color w:val="auto"/>
          <w:spacing w:val="0"/>
          <w:w w:val="100"/>
          <w:position w:val="0"/>
          <w:sz w:val="28"/>
          <w:szCs w:val="28"/>
          <w:highlight w:val="none"/>
        </w:rPr>
        <w:t>年</w:t>
      </w:r>
      <w:r>
        <w:rPr>
          <w:rFonts w:hint="eastAsia" w:ascii="Times New Roman" w:hAnsi="Times New Roman" w:eastAsia="仿宋" w:cs="Times New Roman"/>
          <w:color w:val="auto"/>
          <w:spacing w:val="0"/>
          <w:w w:val="100"/>
          <w:position w:val="0"/>
          <w:sz w:val="28"/>
          <w:szCs w:val="28"/>
          <w:highlight w:val="none"/>
          <w:lang w:val="en-US" w:eastAsia="zh-CN"/>
        </w:rPr>
        <w:t>4</w:t>
      </w:r>
      <w:r>
        <w:rPr>
          <w:rFonts w:hint="default" w:ascii="Times New Roman" w:hAnsi="Times New Roman" w:eastAsia="仿宋" w:cs="Times New Roman"/>
          <w:color w:val="auto"/>
          <w:spacing w:val="0"/>
          <w:w w:val="100"/>
          <w:position w:val="0"/>
          <w:sz w:val="28"/>
          <w:szCs w:val="28"/>
          <w:highlight w:val="none"/>
        </w:rPr>
        <w:t>月组织编制了《伊春市乌翠区集中式地表水饮用水水源地突发环境事件专项应</w:t>
      </w:r>
      <w:r>
        <w:rPr>
          <w:rFonts w:ascii="仿宋" w:hAnsi="仿宋" w:eastAsia="仿宋" w:cs="仿宋"/>
          <w:snapToGrid w:val="0"/>
          <w:color w:val="auto"/>
          <w:spacing w:val="0"/>
          <w:w w:val="100"/>
          <w:position w:val="0"/>
          <w:sz w:val="28"/>
          <w:szCs w:val="28"/>
          <w:highlight w:val="none"/>
        </w:rPr>
        <w:t>急预案》</w:t>
      </w:r>
      <w:r>
        <w:rPr>
          <w:rFonts w:hint="eastAsia" w:ascii="仿宋" w:hAnsi="仿宋" w:eastAsia="仿宋" w:cs="仿宋"/>
          <w:snapToGrid w:val="0"/>
          <w:color w:val="auto"/>
          <w:spacing w:val="0"/>
          <w:w w:val="100"/>
          <w:position w:val="0"/>
          <w:sz w:val="28"/>
          <w:szCs w:val="28"/>
          <w:highlight w:val="none"/>
          <w:lang w:eastAsia="zh-CN"/>
        </w:rPr>
        <w:t>。</w:t>
      </w:r>
    </w:p>
    <w:p w14:paraId="5CCE490B">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9" w:name="_Toc2287"/>
      <w:bookmarkStart w:id="10" w:name="_Toc10992"/>
      <w:r>
        <w:rPr>
          <w:rFonts w:ascii="Times New Roman" w:hAnsi="Times New Roman" w:eastAsia="Times New Roman" w:cs="Times New Roman"/>
          <w:b/>
          <w:bCs/>
          <w:color w:val="auto"/>
          <w:spacing w:val="0"/>
          <w:w w:val="100"/>
          <w:position w:val="0"/>
          <w:sz w:val="28"/>
          <w:szCs w:val="28"/>
          <w:highlight w:val="none"/>
        </w:rPr>
        <w:t>2</w:t>
      </w:r>
      <w:r>
        <w:rPr>
          <w:rFonts w:hint="eastAsia" w:ascii="Times New Roman" w:hAnsi="Times New Roman" w:eastAsia="宋体" w:cs="Times New Roman"/>
          <w:b/>
          <w:bCs/>
          <w:color w:val="auto"/>
          <w:spacing w:val="0"/>
          <w:w w:val="100"/>
          <w:position w:val="0"/>
          <w:sz w:val="28"/>
          <w:szCs w:val="28"/>
          <w:highlight w:val="none"/>
          <w:lang w:val="en-US" w:eastAsia="zh-CN"/>
        </w:rPr>
        <w:t xml:space="preserve"> </w:t>
      </w:r>
      <w:r>
        <w:rPr>
          <w:rFonts w:ascii="仿宋" w:hAnsi="仿宋" w:eastAsia="仿宋" w:cs="仿宋"/>
          <w:b/>
          <w:bCs/>
          <w:color w:val="auto"/>
          <w:spacing w:val="0"/>
          <w:w w:val="100"/>
          <w:position w:val="0"/>
          <w:sz w:val="28"/>
          <w:szCs w:val="28"/>
          <w:highlight w:val="none"/>
        </w:rPr>
        <w:t>编制过程概述</w:t>
      </w:r>
      <w:bookmarkEnd w:id="9"/>
      <w:bookmarkEnd w:id="10"/>
    </w:p>
    <w:p w14:paraId="790DA62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Times New Roman" w:hAnsi="Times New Roman" w:eastAsia="Times New Roman" w:cs="Times New Roman"/>
          <w:color w:val="auto"/>
          <w:spacing w:val="0"/>
          <w:w w:val="100"/>
          <w:position w:val="0"/>
          <w:sz w:val="28"/>
          <w:szCs w:val="28"/>
          <w:highlight w:val="none"/>
        </w:rPr>
        <w:t>202</w:t>
      </w:r>
      <w:r>
        <w:rPr>
          <w:rFonts w:hint="eastAsia" w:ascii="Times New Roman" w:hAnsi="Times New Roman" w:eastAsia="宋体" w:cs="Times New Roman"/>
          <w:color w:val="auto"/>
          <w:spacing w:val="0"/>
          <w:w w:val="100"/>
          <w:position w:val="0"/>
          <w:sz w:val="28"/>
          <w:szCs w:val="28"/>
          <w:highlight w:val="none"/>
          <w:lang w:val="en-US" w:eastAsia="zh-CN"/>
        </w:rPr>
        <w:t>6</w:t>
      </w:r>
      <w:r>
        <w:rPr>
          <w:rFonts w:ascii="仿宋" w:hAnsi="仿宋" w:eastAsia="仿宋" w:cs="仿宋"/>
          <w:color w:val="auto"/>
          <w:spacing w:val="0"/>
          <w:w w:val="100"/>
          <w:position w:val="0"/>
          <w:sz w:val="28"/>
          <w:szCs w:val="28"/>
          <w:highlight w:val="none"/>
        </w:rPr>
        <w:t>年</w:t>
      </w:r>
      <w:r>
        <w:rPr>
          <w:rFonts w:hint="eastAsia" w:ascii="Times New Roman" w:hAnsi="Times New Roman" w:eastAsia="宋体" w:cs="Times New Roman"/>
          <w:color w:val="auto"/>
          <w:spacing w:val="0"/>
          <w:w w:val="100"/>
          <w:position w:val="0"/>
          <w:sz w:val="28"/>
          <w:szCs w:val="28"/>
          <w:highlight w:val="none"/>
          <w:lang w:val="en-US" w:eastAsia="zh-CN"/>
        </w:rPr>
        <w:t>8</w:t>
      </w:r>
      <w:r>
        <w:rPr>
          <w:rFonts w:ascii="仿宋" w:hAnsi="仿宋" w:eastAsia="仿宋" w:cs="仿宋"/>
          <w:color w:val="auto"/>
          <w:spacing w:val="0"/>
          <w:w w:val="100"/>
          <w:position w:val="0"/>
          <w:sz w:val="28"/>
          <w:szCs w:val="28"/>
          <w:highlight w:val="none"/>
        </w:rPr>
        <w:t>月，对西山水库饮用水源地进行了突发环境事件应急预案的编制工作。在对水源地进行初步现场勘察和资料调研后，乌翠区政府合理安排技术人员成立了预案编写小组。</w:t>
      </w:r>
      <w:r>
        <w:rPr>
          <w:rFonts w:ascii="Times New Roman" w:hAnsi="Times New Roman" w:eastAsia="Times New Roman" w:cs="Times New Roman"/>
          <w:color w:val="auto"/>
          <w:spacing w:val="0"/>
          <w:w w:val="100"/>
          <w:position w:val="0"/>
          <w:sz w:val="28"/>
          <w:szCs w:val="28"/>
          <w:highlight w:val="none"/>
        </w:rPr>
        <w:t>202</w:t>
      </w:r>
      <w:r>
        <w:rPr>
          <w:rFonts w:hint="eastAsia" w:ascii="Times New Roman" w:hAnsi="Times New Roman" w:eastAsia="宋体" w:cs="Times New Roman"/>
          <w:color w:val="auto"/>
          <w:spacing w:val="0"/>
          <w:w w:val="100"/>
          <w:position w:val="0"/>
          <w:sz w:val="28"/>
          <w:szCs w:val="28"/>
          <w:highlight w:val="none"/>
          <w:lang w:val="en-US" w:eastAsia="zh-CN"/>
        </w:rPr>
        <w:t>6</w:t>
      </w:r>
      <w:r>
        <w:rPr>
          <w:rFonts w:ascii="仿宋" w:hAnsi="仿宋" w:eastAsia="仿宋" w:cs="仿宋"/>
          <w:color w:val="auto"/>
          <w:spacing w:val="0"/>
          <w:w w:val="100"/>
          <w:position w:val="0"/>
          <w:sz w:val="28"/>
          <w:szCs w:val="28"/>
          <w:highlight w:val="none"/>
        </w:rPr>
        <w:t>年</w:t>
      </w:r>
      <w:r>
        <w:rPr>
          <w:rFonts w:hint="eastAsia" w:ascii="Times New Roman" w:hAnsi="Times New Roman" w:eastAsia="宋体" w:cs="Times New Roman"/>
          <w:color w:val="auto"/>
          <w:spacing w:val="0"/>
          <w:w w:val="100"/>
          <w:position w:val="0"/>
          <w:sz w:val="28"/>
          <w:szCs w:val="28"/>
          <w:highlight w:val="none"/>
          <w:lang w:val="en-US" w:eastAsia="zh-CN"/>
        </w:rPr>
        <w:t>9</w:t>
      </w:r>
      <w:r>
        <w:rPr>
          <w:rFonts w:ascii="仿宋" w:hAnsi="仿宋" w:eastAsia="仿宋" w:cs="仿宋"/>
          <w:color w:val="auto"/>
          <w:spacing w:val="0"/>
          <w:w w:val="100"/>
          <w:position w:val="0"/>
          <w:sz w:val="28"/>
          <w:szCs w:val="28"/>
          <w:highlight w:val="none"/>
        </w:rPr>
        <w:t>月</w:t>
      </w:r>
      <w:r>
        <w:rPr>
          <w:rFonts w:hint="eastAsia" w:ascii="Times New Roman" w:hAnsi="Times New Roman" w:eastAsia="宋体" w:cs="Times New Roman"/>
          <w:color w:val="auto"/>
          <w:spacing w:val="0"/>
          <w:w w:val="100"/>
          <w:position w:val="0"/>
          <w:sz w:val="28"/>
          <w:szCs w:val="28"/>
          <w:highlight w:val="none"/>
          <w:lang w:val="en-US" w:eastAsia="zh-CN"/>
        </w:rPr>
        <w:t>1</w:t>
      </w:r>
      <w:r>
        <w:rPr>
          <w:rFonts w:ascii="仿宋" w:hAnsi="仿宋" w:eastAsia="仿宋" w:cs="仿宋"/>
          <w:color w:val="auto"/>
          <w:spacing w:val="0"/>
          <w:w w:val="100"/>
          <w:position w:val="0"/>
          <w:sz w:val="28"/>
          <w:szCs w:val="28"/>
          <w:highlight w:val="none"/>
        </w:rPr>
        <w:t>日，预案编写小组在《企业突发环境事件风险评估指南（试行）</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企业突发环境事件风险分级方法》（</w:t>
      </w:r>
      <w:r>
        <w:rPr>
          <w:rFonts w:ascii="Times New Roman" w:hAnsi="Times New Roman" w:eastAsia="Times New Roman" w:cs="Times New Roman"/>
          <w:color w:val="auto"/>
          <w:spacing w:val="0"/>
          <w:w w:val="100"/>
          <w:position w:val="0"/>
          <w:sz w:val="28"/>
          <w:szCs w:val="28"/>
          <w:highlight w:val="none"/>
        </w:rPr>
        <w:t>HJ941-2018</w:t>
      </w:r>
      <w:r>
        <w:rPr>
          <w:rFonts w:ascii="仿宋" w:hAnsi="仿宋" w:eastAsia="仿宋" w:cs="仿宋"/>
          <w:color w:val="auto"/>
          <w:spacing w:val="0"/>
          <w:w w:val="100"/>
          <w:position w:val="0"/>
          <w:sz w:val="28"/>
          <w:szCs w:val="28"/>
          <w:highlight w:val="none"/>
        </w:rPr>
        <w:t>）、《国家突发环境事件应急预案》等文件的指导下，结合原有预案的基础上，编制了适应西山水库饮用水源地现有实际应急条件及管理水平的应急预案，完成了预案的初稿编写工作。针对初稿，预案编写小组开展了多次内部交流和修改。</w:t>
      </w:r>
    </w:p>
    <w:p w14:paraId="08BAF11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初稿编制完成后，乌翠区政府组织有关单位及人员对预案进行了初评，并出具了初评报告，预案编写小组根据初评情况，进一步完善了预案。完善后的预案准备送交评估小组，进行评估。</w:t>
      </w:r>
    </w:p>
    <w:p w14:paraId="1AB9F83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Times New Roman" w:hAnsi="Times New Roman" w:eastAsia="Times New Roman" w:cs="Times New Roman"/>
          <w:color w:val="auto"/>
          <w:spacing w:val="0"/>
          <w:w w:val="100"/>
          <w:position w:val="0"/>
          <w:sz w:val="28"/>
          <w:szCs w:val="28"/>
          <w:highlight w:val="none"/>
        </w:rPr>
        <w:t>202</w:t>
      </w:r>
      <w:r>
        <w:rPr>
          <w:rFonts w:hint="eastAsia" w:ascii="Times New Roman" w:hAnsi="Times New Roman" w:eastAsia="宋体" w:cs="Times New Roman"/>
          <w:color w:val="auto"/>
          <w:spacing w:val="0"/>
          <w:w w:val="100"/>
          <w:position w:val="0"/>
          <w:sz w:val="28"/>
          <w:szCs w:val="28"/>
          <w:highlight w:val="none"/>
          <w:lang w:val="en-US" w:eastAsia="zh-CN"/>
        </w:rPr>
        <w:t>6</w:t>
      </w:r>
      <w:r>
        <w:rPr>
          <w:rFonts w:ascii="仿宋" w:hAnsi="仿宋" w:eastAsia="仿宋" w:cs="仿宋"/>
          <w:color w:val="auto"/>
          <w:spacing w:val="0"/>
          <w:w w:val="100"/>
          <w:position w:val="0"/>
          <w:sz w:val="28"/>
          <w:szCs w:val="28"/>
          <w:highlight w:val="none"/>
        </w:rPr>
        <w:t>年</w:t>
      </w:r>
      <w:r>
        <w:rPr>
          <w:rFonts w:hint="eastAsia" w:ascii="Times New Roman" w:hAnsi="Times New Roman" w:eastAsia="宋体" w:cs="Times New Roman"/>
          <w:color w:val="auto"/>
          <w:spacing w:val="0"/>
          <w:w w:val="100"/>
          <w:position w:val="0"/>
          <w:sz w:val="28"/>
          <w:szCs w:val="28"/>
          <w:highlight w:val="none"/>
          <w:lang w:val="en-US" w:eastAsia="zh-CN"/>
        </w:rPr>
        <w:t>8</w:t>
      </w:r>
      <w:r>
        <w:rPr>
          <w:rFonts w:ascii="仿宋" w:hAnsi="仿宋" w:eastAsia="仿宋" w:cs="仿宋"/>
          <w:color w:val="auto"/>
          <w:spacing w:val="0"/>
          <w:w w:val="100"/>
          <w:position w:val="0"/>
          <w:sz w:val="28"/>
          <w:szCs w:val="28"/>
          <w:highlight w:val="none"/>
        </w:rPr>
        <w:t>月，乌翠区政府组织预案评估小组对预案进行了评估。评估小组由</w:t>
      </w:r>
      <w:r>
        <w:rPr>
          <w:rFonts w:ascii="Times New Roman" w:hAnsi="Times New Roman" w:eastAsia="Times New Roman" w:cs="Times New Roman"/>
          <w:color w:val="auto"/>
          <w:spacing w:val="0"/>
          <w:w w:val="100"/>
          <w:position w:val="0"/>
          <w:sz w:val="28"/>
          <w:szCs w:val="28"/>
          <w:highlight w:val="none"/>
        </w:rPr>
        <w:t>3</w:t>
      </w:r>
      <w:r>
        <w:rPr>
          <w:rFonts w:ascii="仿宋" w:hAnsi="仿宋" w:eastAsia="仿宋" w:cs="仿宋"/>
          <w:color w:val="auto"/>
          <w:spacing w:val="0"/>
          <w:w w:val="100"/>
          <w:position w:val="0"/>
          <w:sz w:val="28"/>
          <w:szCs w:val="28"/>
          <w:highlight w:val="none"/>
        </w:rPr>
        <w:t>名专家组成，评估小组在听取汇报，认真审阅了西山水库饮用水源地突发环境事件应急预案文件后，经过踏勘现场，认真讨论形成具体修改意见。预案编制小组根据修改意见，对预案进行了认真修改。</w:t>
      </w:r>
    </w:p>
    <w:p w14:paraId="784E3803">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11" w:name="_Toc10003"/>
      <w:bookmarkStart w:id="12" w:name="_Toc32456"/>
      <w:r>
        <w:rPr>
          <w:rFonts w:ascii="Times New Roman" w:hAnsi="Times New Roman" w:eastAsia="Times New Roman" w:cs="Times New Roman"/>
          <w:b/>
          <w:bCs/>
          <w:color w:val="auto"/>
          <w:spacing w:val="0"/>
          <w:w w:val="100"/>
          <w:position w:val="0"/>
          <w:sz w:val="28"/>
          <w:szCs w:val="28"/>
          <w:highlight w:val="none"/>
        </w:rPr>
        <w:t>3</w:t>
      </w:r>
      <w:r>
        <w:rPr>
          <w:rFonts w:hint="eastAsia" w:ascii="Times New Roman" w:hAnsi="Times New Roman" w:eastAsia="宋体" w:cs="Times New Roman"/>
          <w:b/>
          <w:bCs/>
          <w:color w:val="auto"/>
          <w:spacing w:val="0"/>
          <w:w w:val="100"/>
          <w:position w:val="0"/>
          <w:sz w:val="28"/>
          <w:szCs w:val="28"/>
          <w:highlight w:val="none"/>
          <w:lang w:val="en-US" w:eastAsia="zh-CN"/>
        </w:rPr>
        <w:t xml:space="preserve"> </w:t>
      </w:r>
      <w:r>
        <w:rPr>
          <w:rFonts w:ascii="仿宋" w:hAnsi="仿宋" w:eastAsia="仿宋" w:cs="仿宋"/>
          <w:b/>
          <w:bCs/>
          <w:color w:val="auto"/>
          <w:spacing w:val="0"/>
          <w:w w:val="100"/>
          <w:position w:val="0"/>
          <w:sz w:val="28"/>
          <w:szCs w:val="28"/>
          <w:highlight w:val="none"/>
        </w:rPr>
        <w:t>重点内容说明</w:t>
      </w:r>
      <w:bookmarkEnd w:id="11"/>
      <w:bookmarkEnd w:id="12"/>
    </w:p>
    <w:p w14:paraId="6231C3A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该预案是按照《企业突发环境事件风险评估指南（试行）》及《企业突发环境事件风险分级方法》（</w:t>
      </w:r>
      <w:r>
        <w:rPr>
          <w:rFonts w:ascii="Times New Roman" w:hAnsi="Times New Roman" w:eastAsia="Times New Roman" w:cs="Times New Roman"/>
          <w:color w:val="auto"/>
          <w:spacing w:val="0"/>
          <w:w w:val="100"/>
          <w:position w:val="0"/>
          <w:sz w:val="28"/>
          <w:szCs w:val="28"/>
          <w:highlight w:val="none"/>
        </w:rPr>
        <w:t>HJ941-2018</w:t>
      </w:r>
      <w:r>
        <w:rPr>
          <w:rFonts w:ascii="仿宋" w:hAnsi="仿宋" w:eastAsia="仿宋" w:cs="仿宋"/>
          <w:color w:val="auto"/>
          <w:spacing w:val="0"/>
          <w:w w:val="100"/>
          <w:position w:val="0"/>
          <w:sz w:val="28"/>
          <w:szCs w:val="28"/>
          <w:highlight w:val="none"/>
        </w:rPr>
        <w:t>）的要求编制完成的，各章的主要内容见预案部分。在此仅就有关问题进行说明。</w:t>
      </w:r>
    </w:p>
    <w:p w14:paraId="280F015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1</w:t>
      </w:r>
      <w:r>
        <w:rPr>
          <w:rFonts w:ascii="仿宋" w:hAnsi="仿宋" w:eastAsia="仿宋" w:cs="仿宋"/>
          <w:color w:val="auto"/>
          <w:spacing w:val="0"/>
          <w:w w:val="100"/>
          <w:position w:val="0"/>
          <w:sz w:val="28"/>
          <w:szCs w:val="28"/>
          <w:highlight w:val="none"/>
        </w:rPr>
        <w:t>）关于预警分级</w:t>
      </w:r>
    </w:p>
    <w:p w14:paraId="07353DD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国家突发环境事件应急预案》《黑龙江省环境污染和生态破坏突发事件应急预案》《伊春市突发环境事件应急预案》《伊春市集中式地表水饮用水水源地突发环境事件专项应急预案》中对突发环境事件的事件分级依据基本相同，将突发环境事件分为四个级别。突发环境事件发生后，企业应及时将事件造成的伤亡情况、影响情况上报环保部门，由环保部门根据事件情况确定突发环境事件级别，然后启动相应的政府部门环境应急预案。</w:t>
      </w:r>
    </w:p>
    <w:p w14:paraId="301B8D0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2</w:t>
      </w:r>
      <w:r>
        <w:rPr>
          <w:rFonts w:ascii="仿宋" w:hAnsi="仿宋" w:eastAsia="仿宋" w:cs="仿宋"/>
          <w:color w:val="auto"/>
          <w:spacing w:val="0"/>
          <w:w w:val="100"/>
          <w:position w:val="0"/>
          <w:sz w:val="28"/>
          <w:szCs w:val="28"/>
          <w:highlight w:val="none"/>
        </w:rPr>
        <w:t>）关于预案关系分析</w:t>
      </w:r>
    </w:p>
    <w:p w14:paraId="50DBA6A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黑龙江省突发环境事件应急预案体系包括：《黑龙江省突发事件应急预案》《伊春市突发环境事件应急预案》《伊春市集中式地表水饮用水水源地突发环境事件专项应急预案》、企业突发环境事件应急预案等。本预案与《黑龙江省环境污染和生态破坏突发事件应急预案》《伊春市突发环境事件应急预案》《伊春市集中式地表水饮用水水源地突发环境事件专项应急预案》为上下衔接关系。</w:t>
      </w:r>
    </w:p>
    <w:p w14:paraId="7FF048C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3</w:t>
      </w:r>
      <w:r>
        <w:rPr>
          <w:rFonts w:ascii="仿宋" w:hAnsi="仿宋" w:eastAsia="仿宋" w:cs="仿宋"/>
          <w:color w:val="auto"/>
          <w:spacing w:val="0"/>
          <w:w w:val="100"/>
          <w:position w:val="0"/>
          <w:sz w:val="28"/>
          <w:szCs w:val="28"/>
          <w:highlight w:val="none"/>
        </w:rPr>
        <w:t>）关于重大危险源辨识和潜在环境风险分析</w:t>
      </w:r>
    </w:p>
    <w:p w14:paraId="1E1397A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在进行重大危险源辨识时，依据的是《危险</w:t>
      </w:r>
      <w:r>
        <w:rPr>
          <w:rFonts w:hint="eastAsia" w:ascii="仿宋" w:hAnsi="仿宋" w:eastAsia="仿宋" w:cs="仿宋"/>
          <w:color w:val="auto"/>
          <w:spacing w:val="0"/>
          <w:w w:val="100"/>
          <w:position w:val="0"/>
          <w:sz w:val="28"/>
          <w:szCs w:val="28"/>
          <w:highlight w:val="none"/>
          <w:lang w:eastAsia="zh-CN"/>
        </w:rPr>
        <w:t>化学品</w:t>
      </w:r>
      <w:r>
        <w:rPr>
          <w:rFonts w:ascii="仿宋" w:hAnsi="仿宋" w:eastAsia="仿宋" w:cs="仿宋"/>
          <w:color w:val="auto"/>
          <w:spacing w:val="0"/>
          <w:w w:val="100"/>
          <w:position w:val="0"/>
          <w:sz w:val="28"/>
          <w:szCs w:val="28"/>
          <w:highlight w:val="none"/>
        </w:rPr>
        <w:t>重大危险源辨识》对西山水库饮用水源地核定了重大危险源辨识计算过程和结果。</w:t>
      </w:r>
    </w:p>
    <w:p w14:paraId="139AB22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预案编制小组认真分析了西山水库饮用水源地存在的各类风险环节</w:t>
      </w:r>
      <w:r>
        <w:rPr>
          <w:rFonts w:hint="eastAsia" w:ascii="仿宋" w:hAnsi="仿宋" w:eastAsia="仿宋" w:cs="仿宋"/>
          <w:color w:val="auto"/>
          <w:spacing w:val="0"/>
          <w:w w:val="100"/>
          <w:position w:val="0"/>
          <w:sz w:val="28"/>
          <w:szCs w:val="28"/>
          <w:highlight w:val="none"/>
          <w:lang w:eastAsia="zh-CN"/>
        </w:rPr>
        <w:t>的潜在</w:t>
      </w:r>
      <w:r>
        <w:rPr>
          <w:rFonts w:ascii="仿宋" w:hAnsi="仿宋" w:eastAsia="仿宋" w:cs="仿宋"/>
          <w:color w:val="auto"/>
          <w:spacing w:val="0"/>
          <w:w w:val="100"/>
          <w:position w:val="0"/>
          <w:sz w:val="28"/>
          <w:szCs w:val="28"/>
          <w:highlight w:val="none"/>
        </w:rPr>
        <w:t>环境</w:t>
      </w:r>
      <w:r>
        <w:rPr>
          <w:rFonts w:hint="eastAsia" w:ascii="仿宋" w:hAnsi="仿宋" w:eastAsia="仿宋" w:cs="仿宋"/>
          <w:color w:val="auto"/>
          <w:spacing w:val="0"/>
          <w:w w:val="100"/>
          <w:position w:val="0"/>
          <w:sz w:val="28"/>
          <w:szCs w:val="28"/>
          <w:highlight w:val="none"/>
          <w:lang w:eastAsia="zh-CN"/>
        </w:rPr>
        <w:t>风险</w:t>
      </w:r>
      <w:r>
        <w:rPr>
          <w:rFonts w:ascii="仿宋" w:hAnsi="仿宋" w:eastAsia="仿宋" w:cs="仿宋"/>
          <w:color w:val="auto"/>
          <w:spacing w:val="0"/>
          <w:w w:val="100"/>
          <w:position w:val="0"/>
          <w:sz w:val="28"/>
          <w:szCs w:val="28"/>
          <w:highlight w:val="none"/>
        </w:rPr>
        <w:t>。主要环境风险为固定源风环境险、流动源环境风险、非点源环境风险、流域水污染环境风险等。</w:t>
      </w:r>
    </w:p>
    <w:p w14:paraId="56B0892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4</w:t>
      </w:r>
      <w:r>
        <w:rPr>
          <w:rFonts w:ascii="仿宋" w:hAnsi="仿宋" w:eastAsia="仿宋" w:cs="仿宋"/>
          <w:color w:val="auto"/>
          <w:spacing w:val="0"/>
          <w:w w:val="100"/>
          <w:position w:val="0"/>
          <w:sz w:val="28"/>
          <w:szCs w:val="28"/>
          <w:highlight w:val="none"/>
        </w:rPr>
        <w:t>）关于应急组织体系</w:t>
      </w:r>
    </w:p>
    <w:p w14:paraId="5005A8E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为方便人员管理、提高应急救援效率，本环境应急预案充分利用了企业生产安全事故应急预案的组织机构设置，</w:t>
      </w:r>
      <w:r>
        <w:rPr>
          <w:rFonts w:hint="eastAsia" w:ascii="仿宋" w:hAnsi="仿宋" w:eastAsia="仿宋" w:cs="仿宋"/>
          <w:color w:val="auto"/>
          <w:spacing w:val="0"/>
          <w:w w:val="100"/>
          <w:position w:val="0"/>
          <w:sz w:val="28"/>
          <w:szCs w:val="28"/>
          <w:highlight w:val="none"/>
          <w:lang w:eastAsia="zh-CN"/>
        </w:rPr>
        <w:t>并</w:t>
      </w:r>
      <w:r>
        <w:rPr>
          <w:rFonts w:ascii="仿宋" w:hAnsi="仿宋" w:eastAsia="仿宋" w:cs="仿宋"/>
          <w:color w:val="auto"/>
          <w:spacing w:val="0"/>
          <w:w w:val="100"/>
          <w:position w:val="0"/>
          <w:sz w:val="28"/>
          <w:szCs w:val="28"/>
          <w:highlight w:val="none"/>
        </w:rPr>
        <w:t>结合突发环境事件污染</w:t>
      </w:r>
      <w:r>
        <w:rPr>
          <w:rFonts w:hint="eastAsia" w:ascii="仿宋" w:hAnsi="仿宋" w:eastAsia="仿宋" w:cs="仿宋"/>
          <w:color w:val="auto"/>
          <w:spacing w:val="0"/>
          <w:w w:val="100"/>
          <w:position w:val="0"/>
          <w:sz w:val="28"/>
          <w:szCs w:val="28"/>
          <w:highlight w:val="none"/>
          <w:lang w:eastAsia="zh-CN"/>
        </w:rPr>
        <w:t>特征</w:t>
      </w:r>
      <w:r>
        <w:rPr>
          <w:rFonts w:ascii="仿宋" w:hAnsi="仿宋" w:eastAsia="仿宋" w:cs="仿宋"/>
          <w:color w:val="auto"/>
          <w:spacing w:val="0"/>
          <w:w w:val="100"/>
          <w:position w:val="0"/>
          <w:sz w:val="28"/>
          <w:szCs w:val="28"/>
          <w:highlight w:val="none"/>
        </w:rPr>
        <w:t>进行了部分调整。</w:t>
      </w:r>
    </w:p>
    <w:p w14:paraId="6BE4F4F2">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13" w:name="_Toc3562"/>
      <w:bookmarkStart w:id="14" w:name="_Toc7489"/>
      <w:r>
        <w:rPr>
          <w:rFonts w:ascii="Times New Roman" w:hAnsi="Times New Roman" w:eastAsia="Times New Roman" w:cs="Times New Roman"/>
          <w:b/>
          <w:bCs/>
          <w:color w:val="auto"/>
          <w:spacing w:val="0"/>
          <w:w w:val="100"/>
          <w:position w:val="0"/>
          <w:sz w:val="28"/>
          <w:szCs w:val="28"/>
          <w:highlight w:val="none"/>
        </w:rPr>
        <w:t>4</w:t>
      </w:r>
      <w:r>
        <w:rPr>
          <w:rFonts w:hint="eastAsia" w:ascii="Times New Roman" w:hAnsi="Times New Roman" w:eastAsia="宋体" w:cs="Times New Roman"/>
          <w:b/>
          <w:bCs/>
          <w:color w:val="auto"/>
          <w:spacing w:val="0"/>
          <w:w w:val="100"/>
          <w:position w:val="0"/>
          <w:sz w:val="28"/>
          <w:szCs w:val="28"/>
          <w:highlight w:val="none"/>
          <w:lang w:val="en-US" w:eastAsia="zh-CN"/>
        </w:rPr>
        <w:t xml:space="preserve"> </w:t>
      </w:r>
      <w:r>
        <w:rPr>
          <w:rFonts w:ascii="仿宋" w:hAnsi="仿宋" w:eastAsia="仿宋" w:cs="仿宋"/>
          <w:b/>
          <w:bCs/>
          <w:color w:val="auto"/>
          <w:spacing w:val="0"/>
          <w:w w:val="100"/>
          <w:position w:val="0"/>
          <w:sz w:val="28"/>
          <w:szCs w:val="28"/>
          <w:highlight w:val="none"/>
        </w:rPr>
        <w:t>征求意见及采纳情况说明</w:t>
      </w:r>
      <w:bookmarkEnd w:id="13"/>
      <w:bookmarkEnd w:id="14"/>
    </w:p>
    <w:p w14:paraId="274A894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1</w:t>
      </w:r>
      <w:r>
        <w:rPr>
          <w:rFonts w:ascii="仿宋" w:hAnsi="仿宋" w:eastAsia="仿宋" w:cs="仿宋"/>
          <w:color w:val="auto"/>
          <w:spacing w:val="0"/>
          <w:w w:val="100"/>
          <w:position w:val="0"/>
          <w:sz w:val="28"/>
          <w:szCs w:val="28"/>
          <w:highlight w:val="none"/>
        </w:rPr>
        <w:t>）意见采纳情况</w:t>
      </w:r>
    </w:p>
    <w:p w14:paraId="52FD6F9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本企业</w:t>
      </w:r>
      <w:r>
        <w:rPr>
          <w:rFonts w:hint="eastAsia" w:ascii="仿宋" w:hAnsi="仿宋" w:eastAsia="仿宋" w:cs="仿宋"/>
          <w:color w:val="auto"/>
          <w:spacing w:val="0"/>
          <w:w w:val="100"/>
          <w:position w:val="0"/>
          <w:sz w:val="28"/>
          <w:szCs w:val="28"/>
          <w:highlight w:val="none"/>
          <w:lang w:eastAsia="zh-CN"/>
        </w:rPr>
        <w:t>在组织</w:t>
      </w:r>
      <w:r>
        <w:rPr>
          <w:rFonts w:ascii="仿宋" w:hAnsi="仿宋" w:eastAsia="仿宋" w:cs="仿宋"/>
          <w:color w:val="auto"/>
          <w:spacing w:val="0"/>
          <w:w w:val="100"/>
          <w:position w:val="0"/>
          <w:sz w:val="28"/>
          <w:szCs w:val="28"/>
          <w:highlight w:val="none"/>
        </w:rPr>
        <w:t>应急预案编制过程中，根据《企业事业单位突发环境事件应急预案备案管理办法（试行）》的相关要求，征求周边企事业单位的意见，无反对意见，</w:t>
      </w:r>
      <w:r>
        <w:rPr>
          <w:rFonts w:hint="eastAsia" w:ascii="仿宋" w:hAnsi="仿宋" w:eastAsia="仿宋" w:cs="仿宋"/>
          <w:color w:val="auto"/>
          <w:spacing w:val="0"/>
          <w:w w:val="100"/>
          <w:position w:val="0"/>
          <w:sz w:val="28"/>
          <w:szCs w:val="28"/>
          <w:highlight w:val="none"/>
          <w:lang w:eastAsia="zh-CN"/>
        </w:rPr>
        <w:t>并将</w:t>
      </w:r>
      <w:r>
        <w:rPr>
          <w:rFonts w:ascii="仿宋" w:hAnsi="仿宋" w:eastAsia="仿宋" w:cs="仿宋"/>
          <w:color w:val="auto"/>
          <w:spacing w:val="0"/>
          <w:w w:val="100"/>
          <w:position w:val="0"/>
          <w:sz w:val="28"/>
          <w:szCs w:val="28"/>
          <w:highlight w:val="none"/>
        </w:rPr>
        <w:t>与</w:t>
      </w:r>
      <w:r>
        <w:rPr>
          <w:rFonts w:hint="eastAsia" w:ascii="仿宋" w:hAnsi="仿宋" w:eastAsia="仿宋" w:cs="仿宋"/>
          <w:color w:val="auto"/>
          <w:spacing w:val="0"/>
          <w:w w:val="100"/>
          <w:position w:val="0"/>
          <w:sz w:val="28"/>
          <w:szCs w:val="28"/>
          <w:highlight w:val="none"/>
          <w:lang w:eastAsia="zh-CN"/>
        </w:rPr>
        <w:t>相关</w:t>
      </w:r>
      <w:r>
        <w:rPr>
          <w:rFonts w:ascii="仿宋" w:hAnsi="仿宋" w:eastAsia="仿宋" w:cs="仿宋"/>
          <w:color w:val="auto"/>
          <w:spacing w:val="0"/>
          <w:w w:val="100"/>
          <w:position w:val="0"/>
          <w:sz w:val="28"/>
          <w:szCs w:val="28"/>
          <w:highlight w:val="none"/>
        </w:rPr>
        <w:t>预案</w:t>
      </w:r>
      <w:r>
        <w:rPr>
          <w:rFonts w:hint="eastAsia" w:ascii="仿宋" w:hAnsi="仿宋" w:eastAsia="仿宋" w:cs="仿宋"/>
          <w:color w:val="auto"/>
          <w:spacing w:val="0"/>
          <w:w w:val="100"/>
          <w:position w:val="0"/>
          <w:sz w:val="28"/>
          <w:szCs w:val="28"/>
          <w:highlight w:val="none"/>
          <w:lang w:eastAsia="zh-CN"/>
        </w:rPr>
        <w:t>做好</w:t>
      </w:r>
      <w:r>
        <w:rPr>
          <w:rFonts w:ascii="仿宋" w:hAnsi="仿宋" w:eastAsia="仿宋" w:cs="仿宋"/>
          <w:color w:val="auto"/>
          <w:spacing w:val="0"/>
          <w:w w:val="100"/>
          <w:position w:val="0"/>
          <w:sz w:val="28"/>
          <w:szCs w:val="28"/>
          <w:highlight w:val="none"/>
        </w:rPr>
        <w:t>衔接。</w:t>
      </w:r>
    </w:p>
    <w:p w14:paraId="58FA8C2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2</w:t>
      </w:r>
      <w:r>
        <w:rPr>
          <w:rFonts w:ascii="仿宋" w:hAnsi="仿宋" w:eastAsia="仿宋" w:cs="仿宋"/>
          <w:color w:val="auto"/>
          <w:spacing w:val="0"/>
          <w:w w:val="100"/>
          <w:position w:val="0"/>
          <w:sz w:val="28"/>
          <w:szCs w:val="28"/>
          <w:highlight w:val="none"/>
        </w:rPr>
        <w:t>）演练暴露问题</w:t>
      </w:r>
    </w:p>
    <w:p w14:paraId="573A822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应急指挥部负责组织“应急预案”的演练，每年进行一次模拟演练</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在模拟演练过程中暴露的问题有：①人员在紧急疏散时较为混乱</w:t>
      </w:r>
      <w:r>
        <w:rPr>
          <w:rFonts w:hint="eastAsia" w:ascii="仿宋" w:hAnsi="仿宋" w:eastAsia="仿宋" w:cs="仿宋"/>
          <w:color w:val="auto"/>
          <w:spacing w:val="0"/>
          <w:w w:val="100"/>
          <w:position w:val="0"/>
          <w:sz w:val="28"/>
          <w:szCs w:val="28"/>
          <w:highlight w:val="none"/>
          <w:lang w:eastAsia="zh-CN"/>
        </w:rPr>
        <w:t>；②</w:t>
      </w:r>
      <w:r>
        <w:rPr>
          <w:rFonts w:ascii="仿宋" w:hAnsi="仿宋" w:eastAsia="仿宋" w:cs="仿宋"/>
          <w:color w:val="auto"/>
          <w:spacing w:val="0"/>
          <w:w w:val="100"/>
          <w:position w:val="0"/>
          <w:sz w:val="28"/>
          <w:szCs w:val="28"/>
          <w:highlight w:val="none"/>
        </w:rPr>
        <w:t>在对伤员救援时手法不够熟练</w:t>
      </w:r>
      <w:r>
        <w:rPr>
          <w:rFonts w:hint="eastAsia" w:ascii="仿宋" w:hAnsi="仿宋" w:eastAsia="仿宋" w:cs="仿宋"/>
          <w:color w:val="auto"/>
          <w:spacing w:val="0"/>
          <w:w w:val="100"/>
          <w:position w:val="0"/>
          <w:sz w:val="28"/>
          <w:szCs w:val="28"/>
          <w:highlight w:val="none"/>
          <w:lang w:eastAsia="zh-CN"/>
        </w:rPr>
        <w:t>；③</w:t>
      </w:r>
      <w:r>
        <w:rPr>
          <w:rFonts w:ascii="仿宋" w:hAnsi="仿宋" w:eastAsia="仿宋" w:cs="仿宋"/>
          <w:color w:val="auto"/>
          <w:spacing w:val="0"/>
          <w:w w:val="100"/>
          <w:position w:val="0"/>
          <w:sz w:val="28"/>
          <w:szCs w:val="28"/>
          <w:highlight w:val="none"/>
        </w:rPr>
        <w:t>不能第一时间找到应急救援物资。</w:t>
      </w:r>
    </w:p>
    <w:p w14:paraId="6006B71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解决措施：①让员工熟悉紧急疏散路线，了解各个疏散的路径</w:t>
      </w:r>
      <w:r>
        <w:rPr>
          <w:rFonts w:hint="eastAsia" w:ascii="仿宋" w:hAnsi="仿宋" w:eastAsia="仿宋" w:cs="仿宋"/>
          <w:color w:val="auto"/>
          <w:spacing w:val="0"/>
          <w:w w:val="100"/>
          <w:position w:val="0"/>
          <w:sz w:val="28"/>
          <w:szCs w:val="28"/>
          <w:highlight w:val="none"/>
          <w:lang w:eastAsia="zh-CN"/>
        </w:rPr>
        <w:t>；②</w:t>
      </w:r>
      <w:r>
        <w:rPr>
          <w:rFonts w:ascii="仿宋" w:hAnsi="仿宋" w:eastAsia="仿宋" w:cs="仿宋"/>
          <w:color w:val="auto"/>
          <w:spacing w:val="0"/>
          <w:w w:val="100"/>
          <w:position w:val="0"/>
          <w:sz w:val="28"/>
          <w:szCs w:val="28"/>
          <w:highlight w:val="none"/>
        </w:rPr>
        <w:t>加强对伤员救助的培训工作</w:t>
      </w:r>
      <w:r>
        <w:rPr>
          <w:rFonts w:hint="eastAsia" w:ascii="仿宋" w:hAnsi="仿宋" w:eastAsia="仿宋" w:cs="仿宋"/>
          <w:color w:val="auto"/>
          <w:spacing w:val="0"/>
          <w:w w:val="100"/>
          <w:position w:val="0"/>
          <w:sz w:val="28"/>
          <w:szCs w:val="28"/>
          <w:highlight w:val="none"/>
          <w:lang w:eastAsia="zh-CN"/>
        </w:rPr>
        <w:t>；③</w:t>
      </w:r>
      <w:r>
        <w:rPr>
          <w:rFonts w:ascii="仿宋" w:hAnsi="仿宋" w:eastAsia="仿宋" w:cs="仿宋"/>
          <w:color w:val="auto"/>
          <w:spacing w:val="0"/>
          <w:w w:val="100"/>
          <w:position w:val="0"/>
          <w:sz w:val="28"/>
          <w:szCs w:val="28"/>
          <w:highlight w:val="none"/>
        </w:rPr>
        <w:t>将应急救援物资放置</w:t>
      </w:r>
      <w:r>
        <w:rPr>
          <w:rFonts w:hint="eastAsia" w:ascii="仿宋" w:hAnsi="仿宋" w:eastAsia="仿宋" w:cs="仿宋"/>
          <w:color w:val="auto"/>
          <w:spacing w:val="0"/>
          <w:w w:val="100"/>
          <w:position w:val="0"/>
          <w:sz w:val="28"/>
          <w:szCs w:val="28"/>
          <w:highlight w:val="none"/>
          <w:lang w:eastAsia="zh-CN"/>
        </w:rPr>
        <w:t>显眼</w:t>
      </w:r>
      <w:r>
        <w:rPr>
          <w:rFonts w:ascii="仿宋" w:hAnsi="仿宋" w:eastAsia="仿宋" w:cs="仿宋"/>
          <w:color w:val="auto"/>
          <w:spacing w:val="0"/>
          <w:w w:val="100"/>
          <w:position w:val="0"/>
          <w:sz w:val="28"/>
          <w:szCs w:val="28"/>
          <w:highlight w:val="none"/>
        </w:rPr>
        <w:t>处，并将位置更好</w:t>
      </w:r>
      <w:r>
        <w:rPr>
          <w:rFonts w:hint="eastAsia" w:ascii="仿宋" w:hAnsi="仿宋" w:eastAsia="仿宋" w:cs="仿宋"/>
          <w:color w:val="auto"/>
          <w:spacing w:val="0"/>
          <w:w w:val="100"/>
          <w:position w:val="0"/>
          <w:sz w:val="28"/>
          <w:szCs w:val="28"/>
          <w:highlight w:val="none"/>
          <w:lang w:eastAsia="zh-CN"/>
        </w:rPr>
        <w:t>地</w:t>
      </w:r>
      <w:r>
        <w:rPr>
          <w:rFonts w:ascii="仿宋" w:hAnsi="仿宋" w:eastAsia="仿宋" w:cs="仿宋"/>
          <w:color w:val="auto"/>
          <w:spacing w:val="0"/>
          <w:w w:val="100"/>
          <w:position w:val="0"/>
          <w:sz w:val="28"/>
          <w:szCs w:val="28"/>
          <w:highlight w:val="none"/>
        </w:rPr>
        <w:t>普及给员工。</w:t>
      </w:r>
    </w:p>
    <w:p w14:paraId="4235B2C7">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15" w:name="_Toc3804"/>
      <w:bookmarkStart w:id="16" w:name="_Toc691"/>
      <w:r>
        <w:rPr>
          <w:rFonts w:ascii="Times New Roman" w:hAnsi="Times New Roman" w:eastAsia="Times New Roman" w:cs="Times New Roman"/>
          <w:color w:val="auto"/>
          <w:spacing w:val="0"/>
          <w:w w:val="100"/>
          <w:position w:val="0"/>
          <w:sz w:val="28"/>
          <w:szCs w:val="28"/>
          <w:highlight w:val="none"/>
        </w:rPr>
        <w:t>5</w:t>
      </w:r>
      <w:r>
        <w:rPr>
          <w:rFonts w:hint="eastAsia" w:ascii="Times New Roman" w:hAnsi="Times New Roman" w:eastAsia="宋体" w:cs="Times New Roman"/>
          <w:color w:val="auto"/>
          <w:spacing w:val="0"/>
          <w:w w:val="100"/>
          <w:position w:val="0"/>
          <w:sz w:val="28"/>
          <w:szCs w:val="28"/>
          <w:highlight w:val="none"/>
          <w:lang w:val="en-US" w:eastAsia="zh-CN"/>
        </w:rPr>
        <w:t xml:space="preserve"> </w:t>
      </w:r>
      <w:r>
        <w:rPr>
          <w:rFonts w:ascii="仿宋" w:hAnsi="仿宋" w:eastAsia="仿宋" w:cs="仿宋"/>
          <w:b/>
          <w:bCs/>
          <w:color w:val="auto"/>
          <w:spacing w:val="0"/>
          <w:w w:val="100"/>
          <w:position w:val="0"/>
          <w:sz w:val="28"/>
          <w:szCs w:val="28"/>
          <w:highlight w:val="none"/>
        </w:rPr>
        <w:t>评审情况</w:t>
      </w:r>
      <w:bookmarkEnd w:id="15"/>
      <w:bookmarkEnd w:id="16"/>
    </w:p>
    <w:p w14:paraId="558BEDE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预案编制完成后，组织了专家评审，预案编制小组根据专家意见进行了修改，修改完善后最终完成《伊春市乌翠区集中式地表水饮用水水源地突发环境事件专项应急预案》。</w:t>
      </w:r>
    </w:p>
    <w:p w14:paraId="3B97E99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sectPr>
          <w:pgSz w:w="11907" w:h="16839"/>
          <w:pgMar w:top="1440" w:right="1800" w:bottom="1440" w:left="1800" w:header="0" w:footer="0" w:gutter="0"/>
          <w:cols w:space="720" w:num="1"/>
        </w:sectPr>
      </w:pPr>
    </w:p>
    <w:p w14:paraId="5B877A85">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3C0EC5E4">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26D66217">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211FD58A">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174EA855">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506027D8">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4B32800C">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7F8E7E2B">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574D4257">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343E1CB9">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48153182">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59C79E35">
      <w:pPr>
        <w:pStyle w:val="3"/>
        <w:keepNext w:val="0"/>
        <w:keepLines w:val="0"/>
        <w:pageBreakBefore w:val="0"/>
        <w:widowControl/>
        <w:kinsoku/>
        <w:wordWrap/>
        <w:overflowPunct/>
        <w:topLinePunct w:val="0"/>
        <w:autoSpaceDE w:val="0"/>
        <w:autoSpaceDN w:val="0"/>
        <w:bidi w:val="0"/>
        <w:adjustRightInd w:val="0"/>
        <w:snapToGrid w:val="0"/>
        <w:spacing w:line="242" w:lineRule="auto"/>
        <w:rPr>
          <w:color w:val="auto"/>
          <w:spacing w:val="0"/>
          <w:w w:val="100"/>
          <w:position w:val="0"/>
          <w:highlight w:val="none"/>
        </w:rPr>
      </w:pPr>
    </w:p>
    <w:p w14:paraId="7831ABC2">
      <w:pPr>
        <w:keepNext w:val="0"/>
        <w:keepLines w:val="0"/>
        <w:pageBreakBefore w:val="0"/>
        <w:widowControl/>
        <w:kinsoku/>
        <w:wordWrap/>
        <w:overflowPunct/>
        <w:topLinePunct w:val="0"/>
        <w:autoSpaceDE w:val="0"/>
        <w:autoSpaceDN w:val="0"/>
        <w:bidi w:val="0"/>
        <w:adjustRightInd w:val="0"/>
        <w:snapToGrid w:val="0"/>
        <w:spacing w:before="169" w:line="206" w:lineRule="auto"/>
        <w:ind w:left="2823"/>
        <w:rPr>
          <w:rFonts w:ascii="仿宋" w:hAnsi="仿宋" w:eastAsia="仿宋" w:cs="仿宋"/>
          <w:color w:val="auto"/>
          <w:spacing w:val="0"/>
          <w:w w:val="100"/>
          <w:position w:val="0"/>
          <w:sz w:val="52"/>
          <w:szCs w:val="52"/>
          <w:highlight w:val="none"/>
        </w:rPr>
      </w:pPr>
      <w:r>
        <w:rPr>
          <w:rFonts w:ascii="仿宋" w:hAnsi="仿宋" w:eastAsia="仿宋" w:cs="仿宋"/>
          <w:color w:val="auto"/>
          <w:spacing w:val="0"/>
          <w:w w:val="100"/>
          <w:position w:val="0"/>
          <w:sz w:val="52"/>
          <w:szCs w:val="52"/>
          <w:highlight w:val="none"/>
        </w:rPr>
        <w:t>伊春市乌翠区</w:t>
      </w:r>
    </w:p>
    <w:p w14:paraId="6068D0E5">
      <w:pPr>
        <w:keepNext w:val="0"/>
        <w:keepLines w:val="0"/>
        <w:pageBreakBefore w:val="0"/>
        <w:widowControl/>
        <w:kinsoku/>
        <w:wordWrap/>
        <w:overflowPunct/>
        <w:topLinePunct w:val="0"/>
        <w:autoSpaceDE w:val="0"/>
        <w:autoSpaceDN w:val="0"/>
        <w:bidi w:val="0"/>
        <w:adjustRightInd w:val="0"/>
        <w:snapToGrid w:val="0"/>
        <w:spacing w:before="1" w:line="212" w:lineRule="auto"/>
        <w:ind w:left="1268" w:right="1104" w:hanging="12"/>
        <w:rPr>
          <w:rFonts w:ascii="仿宋" w:hAnsi="仿宋" w:eastAsia="仿宋" w:cs="仿宋"/>
          <w:color w:val="auto"/>
          <w:spacing w:val="0"/>
          <w:w w:val="100"/>
          <w:position w:val="0"/>
          <w:sz w:val="52"/>
          <w:szCs w:val="52"/>
          <w:highlight w:val="none"/>
        </w:rPr>
      </w:pPr>
      <w:r>
        <w:rPr>
          <w:rFonts w:ascii="仿宋" w:hAnsi="仿宋" w:eastAsia="仿宋" w:cs="仿宋"/>
          <w:color w:val="auto"/>
          <w:spacing w:val="0"/>
          <w:w w:val="100"/>
          <w:position w:val="0"/>
          <w:sz w:val="52"/>
          <w:szCs w:val="52"/>
          <w:highlight w:val="none"/>
        </w:rPr>
        <w:t>集中式地表水饮用水水源地突发环境事件专项应急预案</w:t>
      </w:r>
    </w:p>
    <w:p w14:paraId="1EC907B8">
      <w:pPr>
        <w:keepNext w:val="0"/>
        <w:keepLines w:val="0"/>
        <w:pageBreakBefore w:val="0"/>
        <w:widowControl/>
        <w:kinsoku/>
        <w:wordWrap/>
        <w:overflowPunct/>
        <w:topLinePunct w:val="0"/>
        <w:autoSpaceDE w:val="0"/>
        <w:autoSpaceDN w:val="0"/>
        <w:bidi w:val="0"/>
        <w:adjustRightInd w:val="0"/>
        <w:snapToGrid w:val="0"/>
        <w:spacing w:before="1" w:line="212" w:lineRule="auto"/>
        <w:ind w:left="1268" w:right="1104" w:hanging="12"/>
        <w:jc w:val="center"/>
        <w:rPr>
          <w:rFonts w:hint="eastAsia" w:ascii="仿宋" w:hAnsi="仿宋" w:eastAsia="仿宋" w:cs="仿宋"/>
          <w:color w:val="auto"/>
          <w:spacing w:val="0"/>
          <w:w w:val="100"/>
          <w:position w:val="0"/>
          <w:sz w:val="52"/>
          <w:szCs w:val="52"/>
          <w:highlight w:val="none"/>
          <w:lang w:eastAsia="zh-CN"/>
        </w:rPr>
      </w:pPr>
    </w:p>
    <w:p w14:paraId="104272E0">
      <w:pPr>
        <w:pStyle w:val="3"/>
        <w:keepNext w:val="0"/>
        <w:keepLines w:val="0"/>
        <w:pageBreakBefore w:val="0"/>
        <w:widowControl/>
        <w:kinsoku/>
        <w:wordWrap/>
        <w:overflowPunct/>
        <w:topLinePunct w:val="0"/>
        <w:autoSpaceDE w:val="0"/>
        <w:autoSpaceDN w:val="0"/>
        <w:bidi w:val="0"/>
        <w:adjustRightInd w:val="0"/>
        <w:snapToGrid w:val="0"/>
        <w:spacing w:line="250" w:lineRule="auto"/>
        <w:rPr>
          <w:color w:val="auto"/>
          <w:spacing w:val="0"/>
          <w:w w:val="100"/>
          <w:position w:val="0"/>
          <w:highlight w:val="none"/>
        </w:rPr>
      </w:pPr>
    </w:p>
    <w:p w14:paraId="589E666B">
      <w:pPr>
        <w:pStyle w:val="3"/>
        <w:keepNext w:val="0"/>
        <w:keepLines w:val="0"/>
        <w:pageBreakBefore w:val="0"/>
        <w:widowControl/>
        <w:kinsoku/>
        <w:wordWrap/>
        <w:overflowPunct/>
        <w:topLinePunct w:val="0"/>
        <w:autoSpaceDE w:val="0"/>
        <w:autoSpaceDN w:val="0"/>
        <w:bidi w:val="0"/>
        <w:adjustRightInd w:val="0"/>
        <w:snapToGrid w:val="0"/>
        <w:spacing w:line="250" w:lineRule="auto"/>
        <w:rPr>
          <w:color w:val="auto"/>
          <w:spacing w:val="0"/>
          <w:w w:val="100"/>
          <w:position w:val="0"/>
          <w:highlight w:val="none"/>
        </w:rPr>
      </w:pPr>
    </w:p>
    <w:p w14:paraId="7EE1846B">
      <w:pPr>
        <w:pStyle w:val="3"/>
        <w:keepNext w:val="0"/>
        <w:keepLines w:val="0"/>
        <w:pageBreakBefore w:val="0"/>
        <w:widowControl/>
        <w:kinsoku/>
        <w:wordWrap/>
        <w:overflowPunct/>
        <w:topLinePunct w:val="0"/>
        <w:autoSpaceDE w:val="0"/>
        <w:autoSpaceDN w:val="0"/>
        <w:bidi w:val="0"/>
        <w:adjustRightInd w:val="0"/>
        <w:snapToGrid w:val="0"/>
        <w:spacing w:line="250" w:lineRule="auto"/>
        <w:rPr>
          <w:color w:val="auto"/>
          <w:spacing w:val="0"/>
          <w:w w:val="100"/>
          <w:position w:val="0"/>
          <w:highlight w:val="none"/>
        </w:rPr>
      </w:pPr>
    </w:p>
    <w:p w14:paraId="7D5B5B41">
      <w:pPr>
        <w:pStyle w:val="3"/>
        <w:keepNext w:val="0"/>
        <w:keepLines w:val="0"/>
        <w:pageBreakBefore w:val="0"/>
        <w:widowControl/>
        <w:kinsoku/>
        <w:wordWrap/>
        <w:overflowPunct/>
        <w:topLinePunct w:val="0"/>
        <w:autoSpaceDE w:val="0"/>
        <w:autoSpaceDN w:val="0"/>
        <w:bidi w:val="0"/>
        <w:adjustRightInd w:val="0"/>
        <w:snapToGrid w:val="0"/>
        <w:spacing w:line="250" w:lineRule="auto"/>
        <w:rPr>
          <w:color w:val="auto"/>
          <w:spacing w:val="0"/>
          <w:w w:val="100"/>
          <w:position w:val="0"/>
          <w:highlight w:val="none"/>
        </w:rPr>
      </w:pPr>
    </w:p>
    <w:p w14:paraId="6490FA17">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4B01E90E">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11C4C2D2">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03E8B8F2">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6E57AFE1">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75AFFDB1">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76BDDEB0">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7BD5F309">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46839A40">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6A42682C">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49B81A1E">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16BCA525">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5DDE96F8">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49B216C1">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663A4008">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5A14D4E7">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01598648">
      <w:pPr>
        <w:pStyle w:val="3"/>
        <w:keepNext w:val="0"/>
        <w:keepLines w:val="0"/>
        <w:pageBreakBefore w:val="0"/>
        <w:widowControl/>
        <w:kinsoku/>
        <w:wordWrap/>
        <w:overflowPunct/>
        <w:topLinePunct w:val="0"/>
        <w:autoSpaceDE w:val="0"/>
        <w:autoSpaceDN w:val="0"/>
        <w:bidi w:val="0"/>
        <w:adjustRightInd w:val="0"/>
        <w:snapToGrid w:val="0"/>
        <w:spacing w:line="251" w:lineRule="auto"/>
        <w:rPr>
          <w:color w:val="auto"/>
          <w:spacing w:val="0"/>
          <w:w w:val="100"/>
          <w:position w:val="0"/>
          <w:highlight w:val="none"/>
        </w:rPr>
      </w:pPr>
    </w:p>
    <w:p w14:paraId="03ED6006">
      <w:pPr>
        <w:keepNext w:val="0"/>
        <w:keepLines w:val="0"/>
        <w:pageBreakBefore w:val="0"/>
        <w:widowControl/>
        <w:kinsoku/>
        <w:wordWrap/>
        <w:overflowPunct/>
        <w:topLinePunct w:val="0"/>
        <w:autoSpaceDE w:val="0"/>
        <w:autoSpaceDN w:val="0"/>
        <w:bidi w:val="0"/>
        <w:adjustRightInd w:val="0"/>
        <w:snapToGrid w:val="0"/>
        <w:spacing w:before="91" w:line="219" w:lineRule="auto"/>
        <w:ind w:left="3393"/>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乌翠区人民政府</w:t>
      </w:r>
    </w:p>
    <w:p w14:paraId="18F99B49">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3A1B7300">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62994548">
      <w:pPr>
        <w:pStyle w:val="3"/>
        <w:keepNext w:val="0"/>
        <w:keepLines w:val="0"/>
        <w:pageBreakBefore w:val="0"/>
        <w:widowControl/>
        <w:kinsoku/>
        <w:wordWrap/>
        <w:overflowPunct/>
        <w:topLinePunct w:val="0"/>
        <w:autoSpaceDE w:val="0"/>
        <w:autoSpaceDN w:val="0"/>
        <w:bidi w:val="0"/>
        <w:adjustRightInd w:val="0"/>
        <w:snapToGrid w:val="0"/>
        <w:spacing w:line="244" w:lineRule="auto"/>
        <w:rPr>
          <w:color w:val="auto"/>
          <w:spacing w:val="0"/>
          <w:w w:val="100"/>
          <w:position w:val="0"/>
          <w:highlight w:val="none"/>
        </w:rPr>
      </w:pPr>
    </w:p>
    <w:p w14:paraId="3A8BC935">
      <w:pPr>
        <w:keepNext w:val="0"/>
        <w:keepLines w:val="0"/>
        <w:pageBreakBefore w:val="0"/>
        <w:widowControl/>
        <w:kinsoku/>
        <w:wordWrap/>
        <w:overflowPunct/>
        <w:topLinePunct w:val="0"/>
        <w:autoSpaceDE w:val="0"/>
        <w:autoSpaceDN w:val="0"/>
        <w:bidi w:val="0"/>
        <w:adjustRightInd w:val="0"/>
        <w:snapToGrid w:val="0"/>
        <w:spacing w:before="91" w:line="219" w:lineRule="auto"/>
        <w:ind w:left="3393"/>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二〇二</w:t>
      </w:r>
      <w:r>
        <w:rPr>
          <w:rFonts w:hint="eastAsia" w:ascii="仿宋" w:hAnsi="仿宋" w:eastAsia="仿宋" w:cs="仿宋"/>
          <w:color w:val="auto"/>
          <w:spacing w:val="0"/>
          <w:w w:val="100"/>
          <w:position w:val="0"/>
          <w:sz w:val="28"/>
          <w:szCs w:val="28"/>
          <w:highlight w:val="none"/>
          <w:lang w:val="en-US" w:eastAsia="zh-CN"/>
        </w:rPr>
        <w:t>六</w:t>
      </w:r>
      <w:r>
        <w:rPr>
          <w:rFonts w:ascii="仿宋" w:hAnsi="仿宋" w:eastAsia="仿宋" w:cs="仿宋"/>
          <w:color w:val="auto"/>
          <w:spacing w:val="0"/>
          <w:w w:val="100"/>
          <w:position w:val="0"/>
          <w:sz w:val="28"/>
          <w:szCs w:val="28"/>
          <w:highlight w:val="none"/>
        </w:rPr>
        <w:t>年</w:t>
      </w:r>
      <w:r>
        <w:rPr>
          <w:rFonts w:hint="eastAsia" w:ascii="仿宋" w:hAnsi="仿宋" w:eastAsia="仿宋" w:cs="仿宋"/>
          <w:color w:val="auto"/>
          <w:spacing w:val="0"/>
          <w:w w:val="100"/>
          <w:position w:val="0"/>
          <w:sz w:val="28"/>
          <w:szCs w:val="28"/>
          <w:highlight w:val="none"/>
          <w:lang w:val="en-US" w:eastAsia="zh-CN"/>
        </w:rPr>
        <w:t>九</w:t>
      </w:r>
      <w:r>
        <w:rPr>
          <w:rFonts w:ascii="仿宋" w:hAnsi="仿宋" w:eastAsia="仿宋" w:cs="仿宋"/>
          <w:color w:val="auto"/>
          <w:spacing w:val="0"/>
          <w:w w:val="100"/>
          <w:position w:val="0"/>
          <w:sz w:val="28"/>
          <w:szCs w:val="28"/>
          <w:highlight w:val="none"/>
        </w:rPr>
        <w:t>月</w:t>
      </w:r>
    </w:p>
    <w:p w14:paraId="507AF6CC">
      <w:pPr>
        <w:keepNext w:val="0"/>
        <w:keepLines w:val="0"/>
        <w:pageBreakBefore w:val="0"/>
        <w:widowControl/>
        <w:kinsoku/>
        <w:wordWrap/>
        <w:overflowPunct/>
        <w:topLinePunct w:val="0"/>
        <w:autoSpaceDE w:val="0"/>
        <w:autoSpaceDN w:val="0"/>
        <w:bidi w:val="0"/>
        <w:adjustRightInd w:val="0"/>
        <w:snapToGrid w:val="0"/>
        <w:spacing w:before="91" w:line="219" w:lineRule="auto"/>
        <w:ind w:left="3393"/>
        <w:rPr>
          <w:rFonts w:ascii="仿宋" w:hAnsi="仿宋" w:eastAsia="仿宋" w:cs="仿宋"/>
          <w:color w:val="auto"/>
          <w:spacing w:val="0"/>
          <w:w w:val="100"/>
          <w:position w:val="0"/>
          <w:sz w:val="28"/>
          <w:szCs w:val="28"/>
          <w:highlight w:val="none"/>
        </w:rPr>
        <w:sectPr>
          <w:pgSz w:w="12240" w:h="15840"/>
          <w:pgMar w:top="1440" w:right="1800" w:bottom="1440" w:left="1800" w:header="0" w:footer="0" w:gutter="0"/>
          <w:cols w:space="720" w:num="1"/>
        </w:sectPr>
      </w:pPr>
    </w:p>
    <w:p w14:paraId="5F7E4EA0">
      <w:pPr>
        <w:keepNext w:val="0"/>
        <w:keepLines w:val="0"/>
        <w:pageBreakBefore w:val="0"/>
        <w:widowControl/>
        <w:kinsoku/>
        <w:wordWrap/>
        <w:overflowPunct/>
        <w:topLinePunct w:val="0"/>
        <w:autoSpaceDE w:val="0"/>
        <w:autoSpaceDN w:val="0"/>
        <w:bidi w:val="0"/>
        <w:adjustRightInd w:val="0"/>
        <w:snapToGrid w:val="0"/>
        <w:spacing w:line="232" w:lineRule="auto"/>
        <w:rPr>
          <w:rFonts w:ascii="Times New Roman" w:hAnsi="Times New Roman" w:eastAsia="Times New Roman" w:cs="Times New Roman"/>
          <w:snapToGrid w:val="0"/>
          <w:color w:val="auto"/>
          <w:spacing w:val="0"/>
          <w:w w:val="100"/>
          <w:kern w:val="0"/>
          <w:position w:val="0"/>
          <w:sz w:val="21"/>
          <w:szCs w:val="28"/>
          <w:highlight w:val="none"/>
          <w:lang w:val="en-US" w:eastAsia="en-US" w:bidi="ar-SA"/>
        </w:rPr>
      </w:pPr>
    </w:p>
    <w:sdt>
      <w:sdtPr>
        <w:rPr>
          <w:rFonts w:ascii="宋体" w:hAnsi="宋体" w:eastAsia="宋体" w:cs="Arial"/>
          <w:snapToGrid w:val="0"/>
          <w:color w:val="auto"/>
          <w:kern w:val="0"/>
          <w:sz w:val="21"/>
          <w:szCs w:val="21"/>
          <w:highlight w:val="none"/>
          <w:lang w:val="en-US" w:eastAsia="en-US" w:bidi="ar-SA"/>
        </w:rPr>
        <w:id w:val="147483463"/>
        <w15:color w:val="DBDBDB"/>
        <w:docPartObj>
          <w:docPartGallery w:val="Table of Contents"/>
          <w:docPartUnique/>
        </w:docPartObj>
      </w:sdtPr>
      <w:sdtEndPr>
        <w:rPr>
          <w:rFonts w:hint="default" w:ascii="Times New Roman" w:hAnsi="Times New Roman" w:eastAsia="Times New Roman" w:cs="Times New Roman"/>
          <w:snapToGrid w:val="0"/>
          <w:color w:val="auto"/>
          <w:spacing w:val="0"/>
          <w:w w:val="100"/>
          <w:kern w:val="0"/>
          <w:position w:val="0"/>
          <w:sz w:val="21"/>
          <w:szCs w:val="28"/>
          <w:highlight w:val="none"/>
          <w:lang w:val="en-US" w:eastAsia="en-US" w:bidi="ar-SA"/>
        </w:rPr>
      </w:sdtEndPr>
      <w:sdtContent>
        <w:p w14:paraId="27F49788">
          <w:pPr>
            <w:keepNext w:val="0"/>
            <w:keepLines w:val="0"/>
            <w:pageBreakBefore w:val="0"/>
            <w:widowControl/>
            <w:wordWrap/>
            <w:overflowPunct/>
            <w:topLinePunct w:val="0"/>
            <w:autoSpaceDE w:val="0"/>
            <w:autoSpaceDN w:val="0"/>
            <w:bidi w:val="0"/>
            <w:adjustRightInd w:val="0"/>
            <w:snapToGrid w:val="0"/>
            <w:spacing w:before="0" w:beforeLines="0" w:after="0" w:afterLines="0" w:line="560" w:lineRule="exact"/>
            <w:ind w:left="0" w:leftChars="0" w:right="0" w:rightChars="0" w:firstLine="0" w:firstLineChars="0"/>
            <w:jc w:val="center"/>
            <w:textAlignment w:val="baseline"/>
            <w:rPr>
              <w:color w:val="auto"/>
              <w:sz w:val="32"/>
              <w:szCs w:val="32"/>
              <w:highlight w:val="none"/>
            </w:rPr>
          </w:pPr>
          <w:r>
            <w:rPr>
              <w:rFonts w:ascii="宋体" w:hAnsi="宋体" w:eastAsia="宋体"/>
              <w:color w:val="auto"/>
              <w:sz w:val="32"/>
              <w:szCs w:val="32"/>
              <w:highlight w:val="none"/>
            </w:rPr>
            <w:t>目录</w:t>
          </w:r>
        </w:p>
        <w:p w14:paraId="18691C1C">
          <w:pPr>
            <w:pStyle w:val="7"/>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TOC \o "1-2" \h \u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_Toc15748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黑体" w:cs="Times New Roman"/>
              <w:color w:val="auto"/>
              <w:spacing w:val="0"/>
              <w:w w:val="100"/>
              <w:position w:val="0"/>
              <w:sz w:val="24"/>
              <w:szCs w:val="36"/>
              <w:highlight w:val="none"/>
            </w:rPr>
            <w:t>1.总则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_Toc15748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42F579F4">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_Toc14281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1.1</w:t>
          </w:r>
          <w:r>
            <w:rPr>
              <w:rFonts w:hint="default" w:ascii="Times New Roman" w:hAnsi="Times New Roman" w:eastAsia="楷体" w:cs="Times New Roman"/>
              <w:color w:val="auto"/>
              <w:spacing w:val="0"/>
              <w:w w:val="100"/>
              <w:position w:val="0"/>
              <w:sz w:val="24"/>
              <w:szCs w:val="36"/>
              <w:highlight w:val="none"/>
              <w:lang w:val="en-US" w:eastAsia="zh-CN"/>
            </w:rPr>
            <w:t xml:space="preserve"> </w:t>
          </w:r>
          <w:r>
            <w:rPr>
              <w:rFonts w:hint="default" w:ascii="Times New Roman" w:hAnsi="Times New Roman" w:eastAsia="楷体" w:cs="Times New Roman"/>
              <w:color w:val="auto"/>
              <w:spacing w:val="0"/>
              <w:w w:val="100"/>
              <w:position w:val="0"/>
              <w:sz w:val="24"/>
              <w:szCs w:val="36"/>
              <w:highlight w:val="none"/>
            </w:rPr>
            <w:t>编制目的</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_Toc14281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5475CE85">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_Toc32315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1.2</w:t>
          </w:r>
          <w:r>
            <w:rPr>
              <w:rFonts w:hint="default" w:ascii="Times New Roman" w:hAnsi="Times New Roman" w:eastAsia="楷体" w:cs="Times New Roman"/>
              <w:color w:val="auto"/>
              <w:spacing w:val="0"/>
              <w:w w:val="100"/>
              <w:position w:val="0"/>
              <w:sz w:val="24"/>
              <w:szCs w:val="36"/>
              <w:highlight w:val="none"/>
              <w:lang w:val="en-US" w:eastAsia="zh-CN"/>
            </w:rPr>
            <w:t xml:space="preserve"> </w:t>
          </w:r>
          <w:r>
            <w:rPr>
              <w:rFonts w:hint="default" w:ascii="Times New Roman" w:hAnsi="Times New Roman" w:eastAsia="楷体" w:cs="Times New Roman"/>
              <w:color w:val="auto"/>
              <w:spacing w:val="0"/>
              <w:w w:val="100"/>
              <w:position w:val="0"/>
              <w:sz w:val="24"/>
              <w:szCs w:val="36"/>
              <w:highlight w:val="none"/>
            </w:rPr>
            <w:t>编制依据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_Toc32315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1ED94146">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_Toc9286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1.3适用范围</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_Toc9286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19E5F8BB">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_Toc24824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1.4工作原则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_Toc24824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5FE6DBEB">
          <w:pPr>
            <w:pStyle w:val="7"/>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_Toc31638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黑体" w:cs="Times New Roman"/>
              <w:color w:val="auto"/>
              <w:spacing w:val="0"/>
              <w:w w:val="100"/>
              <w:position w:val="0"/>
              <w:sz w:val="24"/>
              <w:szCs w:val="36"/>
              <w:highlight w:val="none"/>
            </w:rPr>
            <w:t>2应急组织指挥体系</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_Toc31638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7B6CC5F0">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_Toc16525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2.1区集中式地表水饮用水水源地突发环境事件应急指挥部</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_Toc16525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5038E231">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_Toc24165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2.2现场应急指挥部</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_Toc24165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307BCDF8">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_Toc32022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2.3现场应急工作组</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_Toc32022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72D98B5B">
          <w:pPr>
            <w:pStyle w:val="7"/>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_Toc15622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黑体" w:cs="Times New Roman"/>
              <w:color w:val="auto"/>
              <w:spacing w:val="0"/>
              <w:w w:val="100"/>
              <w:position w:val="0"/>
              <w:sz w:val="24"/>
              <w:szCs w:val="36"/>
              <w:highlight w:val="none"/>
            </w:rPr>
            <w:t>3应急响应</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_Toc15622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607A22F7">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_Toc23324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3.1预警</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_Toc23324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3</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156832D5">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_Toc4444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3.2信息报告与通报</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_Toc4444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6</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0B879EA6">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_Toc32389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3.3事态研判</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_Toc32389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71B0723A">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_Toc761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3.4应急监测</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_Toc761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8</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61CEEE4E">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_Toc24258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仿宋" w:cs="Times New Roman"/>
              <w:color w:val="auto"/>
              <w:spacing w:val="0"/>
              <w:w w:val="100"/>
              <w:position w:val="0"/>
              <w:sz w:val="24"/>
              <w:szCs w:val="36"/>
              <w:highlight w:val="none"/>
            </w:rPr>
            <w:t>3.5污染源排查与处置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_Toc24258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11</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06AA265B">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_Toc26923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仿宋" w:cs="Times New Roman"/>
              <w:color w:val="auto"/>
              <w:spacing w:val="0"/>
              <w:w w:val="100"/>
              <w:position w:val="0"/>
              <w:sz w:val="24"/>
              <w:szCs w:val="36"/>
              <w:highlight w:val="none"/>
            </w:rPr>
            <w:t>3.6应急处置</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_Toc26923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11</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15438573">
          <w:pPr>
            <w:pStyle w:val="7"/>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_Toc9497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黑体" w:cs="Times New Roman"/>
              <w:color w:val="auto"/>
              <w:spacing w:val="0"/>
              <w:w w:val="100"/>
              <w:position w:val="0"/>
              <w:sz w:val="24"/>
              <w:szCs w:val="36"/>
              <w:highlight w:val="none"/>
            </w:rPr>
            <w:t>4后期工作</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_Toc9497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16</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276626B6">
          <w:pPr>
            <w:pStyle w:val="7"/>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_Toc644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黑体" w:cs="Times New Roman"/>
              <w:color w:val="auto"/>
              <w:spacing w:val="0"/>
              <w:w w:val="100"/>
              <w:position w:val="0"/>
              <w:sz w:val="24"/>
              <w:szCs w:val="36"/>
              <w:highlight w:val="none"/>
            </w:rPr>
            <w:t>5应急保障</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_Toc644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1E5CD5D1">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_Toc3730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5.2应急队伍保障</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_Toc3730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21D1FD1D">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_Toc13735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仿宋" w:cs="Times New Roman"/>
              <w:color w:val="auto"/>
              <w:spacing w:val="0"/>
              <w:w w:val="100"/>
              <w:position w:val="0"/>
              <w:sz w:val="24"/>
              <w:szCs w:val="36"/>
              <w:highlight w:val="none"/>
            </w:rPr>
            <w:t>5.3应急资源保障</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_Toc13735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17</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0E9D39F9">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_Toc30236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仿宋" w:cs="Times New Roman"/>
              <w:color w:val="auto"/>
              <w:spacing w:val="0"/>
              <w:w w:val="100"/>
              <w:position w:val="0"/>
              <w:sz w:val="24"/>
              <w:szCs w:val="36"/>
              <w:highlight w:val="none"/>
            </w:rPr>
            <w:t>5.4经费保障</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_Toc30236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7E90ECFC">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_Toc3413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仿宋" w:cs="Times New Roman"/>
              <w:color w:val="auto"/>
              <w:spacing w:val="0"/>
              <w:w w:val="100"/>
              <w:position w:val="0"/>
              <w:sz w:val="24"/>
              <w:szCs w:val="36"/>
              <w:highlight w:val="none"/>
            </w:rPr>
            <w:t>5.5其他保障</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_Toc3413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18</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1F0F22D5">
          <w:pPr>
            <w:pStyle w:val="7"/>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_Toc4305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黑体" w:cs="Times New Roman"/>
              <w:color w:val="auto"/>
              <w:spacing w:val="0"/>
              <w:w w:val="100"/>
              <w:position w:val="0"/>
              <w:sz w:val="24"/>
              <w:szCs w:val="36"/>
              <w:highlight w:val="none"/>
            </w:rPr>
            <w:t>6附则</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_Toc4305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19</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363CA1AE">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_Toc29204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6.</w:t>
          </w:r>
          <w:r>
            <w:rPr>
              <w:rFonts w:hint="default" w:ascii="Times New Roman" w:hAnsi="Times New Roman" w:eastAsia="楷体" w:cs="Times New Roman"/>
              <w:color w:val="auto"/>
              <w:spacing w:val="0"/>
              <w:w w:val="100"/>
              <w:position w:val="0"/>
              <w:sz w:val="24"/>
              <w:szCs w:val="36"/>
              <w:highlight w:val="none"/>
              <w:lang w:val="en-US" w:eastAsia="zh-CN"/>
            </w:rPr>
            <w:t>2</w:t>
          </w:r>
          <w:r>
            <w:rPr>
              <w:rFonts w:hint="default" w:ascii="Times New Roman" w:hAnsi="Times New Roman" w:eastAsia="楷体" w:cs="Times New Roman"/>
              <w:color w:val="auto"/>
              <w:spacing w:val="0"/>
              <w:w w:val="100"/>
              <w:position w:val="0"/>
              <w:sz w:val="24"/>
              <w:szCs w:val="36"/>
              <w:highlight w:val="none"/>
            </w:rPr>
            <w:t>预案演练和修订</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_Toc29204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21</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7703D6C7">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_Toc30101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6.</w:t>
          </w:r>
          <w:r>
            <w:rPr>
              <w:rFonts w:hint="default" w:ascii="Times New Roman" w:hAnsi="Times New Roman" w:eastAsia="楷体" w:cs="Times New Roman"/>
              <w:color w:val="auto"/>
              <w:spacing w:val="0"/>
              <w:w w:val="100"/>
              <w:position w:val="0"/>
              <w:sz w:val="24"/>
              <w:szCs w:val="36"/>
              <w:highlight w:val="none"/>
              <w:lang w:val="en-US" w:eastAsia="zh-CN"/>
            </w:rPr>
            <w:t>3</w:t>
          </w:r>
          <w:r>
            <w:rPr>
              <w:rFonts w:hint="default" w:ascii="Times New Roman" w:hAnsi="Times New Roman" w:eastAsia="楷体" w:cs="Times New Roman"/>
              <w:color w:val="auto"/>
              <w:spacing w:val="0"/>
              <w:w w:val="100"/>
              <w:position w:val="0"/>
              <w:sz w:val="24"/>
              <w:szCs w:val="36"/>
              <w:highlight w:val="none"/>
            </w:rPr>
            <w:t>预案实施日期</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_Toc30101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3ADA7A20">
          <w:pPr>
            <w:pStyle w:val="7"/>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_Toc30185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黑体" w:cs="Times New Roman"/>
              <w:color w:val="auto"/>
              <w:spacing w:val="0"/>
              <w:w w:val="100"/>
              <w:position w:val="0"/>
              <w:sz w:val="24"/>
              <w:szCs w:val="36"/>
              <w:highlight w:val="none"/>
            </w:rPr>
            <w:t>7附表</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_Toc30185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2BFAC744">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cs="Times New Roman"/>
              <w:color w:val="auto"/>
              <w:sz w:val="24"/>
              <w:szCs w:val="24"/>
              <w:highlight w:val="none"/>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_Toc4697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7.1应急组织机构和职责</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_Toc4697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22</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p w14:paraId="4C0F201E">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336" w:lineRule="auto"/>
            <w:textAlignment w:val="baseline"/>
            <w:rPr>
              <w:rFonts w:hint="default" w:ascii="Times New Roman" w:hAnsi="Times New Roman" w:eastAsia="Times New Roman" w:cs="Times New Roman"/>
              <w:snapToGrid w:val="0"/>
              <w:color w:val="auto"/>
              <w:spacing w:val="0"/>
              <w:w w:val="100"/>
              <w:kern w:val="0"/>
              <w:position w:val="0"/>
              <w:sz w:val="21"/>
              <w:szCs w:val="28"/>
              <w:highlight w:val="none"/>
              <w:lang w:val="en-US" w:eastAsia="en-US" w:bidi="ar-SA"/>
            </w:rPr>
          </w:pP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begin"/>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instrText xml:space="preserve"> HYPERLINK \l _Toc27381 </w:instrText>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separate"/>
          </w:r>
          <w:r>
            <w:rPr>
              <w:rFonts w:hint="default" w:ascii="Times New Roman" w:hAnsi="Times New Roman" w:eastAsia="楷体" w:cs="Times New Roman"/>
              <w:color w:val="auto"/>
              <w:spacing w:val="0"/>
              <w:w w:val="100"/>
              <w:position w:val="0"/>
              <w:sz w:val="24"/>
              <w:szCs w:val="36"/>
              <w:highlight w:val="none"/>
            </w:rPr>
            <w:t>7.2应急专家库通讯录</w:t>
          </w: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 PAGEREF _Toc27381 \h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t>26</w:t>
          </w:r>
          <w:r>
            <w:rPr>
              <w:rFonts w:hint="default" w:ascii="Times New Roman" w:hAnsi="Times New Roman" w:cs="Times New Roman"/>
              <w:color w:val="auto"/>
              <w:sz w:val="24"/>
              <w:szCs w:val="24"/>
              <w:highlight w:val="none"/>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r>
            <w:rPr>
              <w:rFonts w:hint="default" w:ascii="Times New Roman" w:hAnsi="Times New Roman" w:eastAsia="Times New Roman" w:cs="Times New Roman"/>
              <w:snapToGrid w:val="0"/>
              <w:color w:val="auto"/>
              <w:spacing w:val="0"/>
              <w:w w:val="100"/>
              <w:kern w:val="0"/>
              <w:position w:val="0"/>
              <w:sz w:val="24"/>
              <w:szCs w:val="36"/>
              <w:highlight w:val="none"/>
              <w:lang w:val="en-US" w:eastAsia="en-US" w:bidi="ar-SA"/>
            </w:rPr>
            <w:fldChar w:fldCharType="end"/>
          </w:r>
        </w:p>
      </w:sdtContent>
    </w:sdt>
    <w:p w14:paraId="1B6339F2">
      <w:pPr>
        <w:keepNext w:val="0"/>
        <w:keepLines w:val="0"/>
        <w:pageBreakBefore w:val="0"/>
        <w:widowControl/>
        <w:kinsoku/>
        <w:wordWrap/>
        <w:overflowPunct/>
        <w:topLinePunct w:val="0"/>
        <w:autoSpaceDE w:val="0"/>
        <w:autoSpaceDN w:val="0"/>
        <w:bidi w:val="0"/>
        <w:adjustRightInd w:val="0"/>
        <w:snapToGrid w:val="0"/>
        <w:spacing w:line="232" w:lineRule="auto"/>
        <w:rPr>
          <w:rFonts w:hint="default" w:ascii="Times New Roman" w:hAnsi="Times New Roman" w:eastAsia="Times New Roman" w:cs="Times New Roman"/>
          <w:snapToGrid w:val="0"/>
          <w:color w:val="auto"/>
          <w:spacing w:val="0"/>
          <w:w w:val="100"/>
          <w:kern w:val="0"/>
          <w:position w:val="0"/>
          <w:sz w:val="21"/>
          <w:szCs w:val="28"/>
          <w:highlight w:val="none"/>
          <w:lang w:val="en-US" w:eastAsia="en-US" w:bidi="ar-SA"/>
        </w:rPr>
        <w:sectPr>
          <w:pgSz w:w="12240" w:h="15840"/>
          <w:pgMar w:top="1440" w:right="1800" w:bottom="1440" w:left="1800" w:header="0" w:footer="0" w:gutter="0"/>
          <w:cols w:space="720" w:num="1"/>
        </w:sectPr>
      </w:pPr>
    </w:p>
    <w:p w14:paraId="2E53234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0"/>
        <w:rPr>
          <w:rFonts w:ascii="黑体" w:hAnsi="黑体" w:eastAsia="黑体" w:cs="黑体"/>
          <w:color w:val="auto"/>
          <w:spacing w:val="0"/>
          <w:w w:val="100"/>
          <w:position w:val="0"/>
          <w:sz w:val="28"/>
          <w:szCs w:val="28"/>
          <w:highlight w:val="none"/>
        </w:rPr>
      </w:pPr>
      <w:bookmarkStart w:id="17" w:name="_Toc15748"/>
      <w:bookmarkStart w:id="18" w:name="_Toc18355"/>
      <w:bookmarkStart w:id="19" w:name="_Toc11210"/>
      <w:bookmarkStart w:id="20" w:name="_Toc14137"/>
      <w:bookmarkStart w:id="21" w:name="_Toc26271"/>
      <w:bookmarkStart w:id="22" w:name="_Toc5157"/>
      <w:bookmarkStart w:id="23" w:name="_Toc21300"/>
      <w:r>
        <w:rPr>
          <w:rFonts w:ascii="黑体" w:hAnsi="黑体" w:eastAsia="黑体" w:cs="黑体"/>
          <w:color w:val="auto"/>
          <w:spacing w:val="0"/>
          <w:w w:val="100"/>
          <w:position w:val="0"/>
          <w:sz w:val="28"/>
          <w:szCs w:val="28"/>
          <w:highlight w:val="none"/>
        </w:rPr>
        <w:t>1.总则</w:t>
      </w:r>
      <w:bookmarkEnd w:id="17"/>
      <w:bookmarkEnd w:id="18"/>
      <w:bookmarkEnd w:id="19"/>
      <w:bookmarkEnd w:id="20"/>
      <w:bookmarkEnd w:id="21"/>
      <w:bookmarkEnd w:id="22"/>
      <w:bookmarkEnd w:id="23"/>
    </w:p>
    <w:p w14:paraId="037A345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24" w:name="bookmark59"/>
      <w:bookmarkEnd w:id="24"/>
      <w:bookmarkStart w:id="25" w:name="_Toc14281"/>
      <w:bookmarkStart w:id="26" w:name="_Toc22266"/>
      <w:bookmarkStart w:id="27" w:name="_Toc6211"/>
      <w:bookmarkStart w:id="28" w:name="_Toc792"/>
      <w:bookmarkStart w:id="29" w:name="_Toc30003"/>
      <w:bookmarkStart w:id="30" w:name="_Toc13492"/>
      <w:bookmarkStart w:id="31" w:name="_Toc22794"/>
      <w:r>
        <w:rPr>
          <w:rFonts w:ascii="楷体" w:hAnsi="楷体" w:eastAsia="楷体" w:cs="楷体"/>
          <w:color w:val="auto"/>
          <w:spacing w:val="0"/>
          <w:w w:val="100"/>
          <w:position w:val="0"/>
          <w:sz w:val="28"/>
          <w:szCs w:val="28"/>
          <w:highlight w:val="none"/>
        </w:rPr>
        <w:t>1.1</w:t>
      </w:r>
      <w:r>
        <w:rPr>
          <w:rFonts w:hint="eastAsia" w:ascii="楷体" w:hAnsi="楷体" w:eastAsia="楷体" w:cs="楷体"/>
          <w:color w:val="auto"/>
          <w:spacing w:val="0"/>
          <w:w w:val="100"/>
          <w:position w:val="0"/>
          <w:sz w:val="28"/>
          <w:szCs w:val="28"/>
          <w:highlight w:val="none"/>
          <w:lang w:val="en-US" w:eastAsia="zh-CN"/>
        </w:rPr>
        <w:t xml:space="preserve"> </w:t>
      </w:r>
      <w:r>
        <w:rPr>
          <w:rFonts w:ascii="楷体" w:hAnsi="楷体" w:eastAsia="楷体" w:cs="楷体"/>
          <w:color w:val="auto"/>
          <w:spacing w:val="0"/>
          <w:w w:val="100"/>
          <w:position w:val="0"/>
          <w:sz w:val="28"/>
          <w:szCs w:val="28"/>
          <w:highlight w:val="none"/>
        </w:rPr>
        <w:t>编制目的</w:t>
      </w:r>
      <w:bookmarkEnd w:id="25"/>
      <w:bookmarkEnd w:id="26"/>
      <w:bookmarkEnd w:id="27"/>
      <w:bookmarkEnd w:id="28"/>
      <w:bookmarkEnd w:id="29"/>
      <w:bookmarkEnd w:id="30"/>
      <w:bookmarkEnd w:id="31"/>
    </w:p>
    <w:p w14:paraId="4DA5C97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有效应对集中式地表水饮用水水源地突发环境事件，快速、有序、高效地排除污染物，最大程度降低突发环境事件对水源地水质影响，及时控制和消除突发环境事件造成的供水短缺和危害，指导水源地突发环境事件规范应对的各项工作，维护社会稳定和保障经济发展，结合我区实际，特制定本预案。</w:t>
      </w:r>
    </w:p>
    <w:p w14:paraId="7214482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32" w:name="bookmark60"/>
      <w:bookmarkEnd w:id="32"/>
      <w:bookmarkStart w:id="33" w:name="_Toc12427"/>
      <w:bookmarkStart w:id="34" w:name="_Toc6155"/>
      <w:bookmarkStart w:id="35" w:name="_Toc32315"/>
      <w:bookmarkStart w:id="36" w:name="_Toc7566"/>
      <w:bookmarkStart w:id="37" w:name="_Toc6327"/>
      <w:bookmarkStart w:id="38" w:name="_Toc14025"/>
      <w:bookmarkStart w:id="39" w:name="_Toc12303"/>
      <w:r>
        <w:rPr>
          <w:rFonts w:ascii="楷体" w:hAnsi="楷体" w:eastAsia="楷体" w:cs="楷体"/>
          <w:color w:val="auto"/>
          <w:spacing w:val="0"/>
          <w:w w:val="100"/>
          <w:position w:val="0"/>
          <w:sz w:val="28"/>
          <w:szCs w:val="28"/>
          <w:highlight w:val="none"/>
        </w:rPr>
        <w:t>1.2</w:t>
      </w:r>
      <w:r>
        <w:rPr>
          <w:rFonts w:hint="eastAsia" w:ascii="楷体" w:hAnsi="楷体" w:eastAsia="楷体" w:cs="楷体"/>
          <w:color w:val="auto"/>
          <w:spacing w:val="0"/>
          <w:w w:val="100"/>
          <w:position w:val="0"/>
          <w:sz w:val="28"/>
          <w:szCs w:val="28"/>
          <w:highlight w:val="none"/>
          <w:lang w:val="en-US" w:eastAsia="zh-CN"/>
        </w:rPr>
        <w:t xml:space="preserve"> </w:t>
      </w:r>
      <w:r>
        <w:rPr>
          <w:rFonts w:ascii="楷体" w:hAnsi="楷体" w:eastAsia="楷体" w:cs="楷体"/>
          <w:color w:val="auto"/>
          <w:spacing w:val="0"/>
          <w:w w:val="100"/>
          <w:position w:val="0"/>
          <w:sz w:val="28"/>
          <w:szCs w:val="28"/>
          <w:highlight w:val="none"/>
        </w:rPr>
        <w:t>编制依据</w:t>
      </w:r>
      <w:bookmarkEnd w:id="33"/>
      <w:bookmarkEnd w:id="34"/>
      <w:bookmarkEnd w:id="35"/>
      <w:bookmarkEnd w:id="36"/>
      <w:bookmarkEnd w:id="37"/>
      <w:bookmarkEnd w:id="38"/>
      <w:bookmarkEnd w:id="39"/>
    </w:p>
    <w:p w14:paraId="005CBAA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依据</w:t>
      </w:r>
      <w:r>
        <w:rPr>
          <w:rFonts w:hint="eastAsia" w:ascii="仿宋" w:hAnsi="仿宋" w:eastAsia="仿宋" w:cs="仿宋"/>
          <w:color w:val="auto"/>
          <w:spacing w:val="0"/>
          <w:w w:val="100"/>
          <w:position w:val="0"/>
          <w:sz w:val="28"/>
          <w:szCs w:val="28"/>
          <w:highlight w:val="none"/>
        </w:rPr>
        <w:t>《中华人民共和国生态环境法典》</w:t>
      </w:r>
      <w:r>
        <w:rPr>
          <w:rFonts w:ascii="仿宋" w:hAnsi="仿宋" w:eastAsia="仿宋" w:cs="仿宋"/>
          <w:color w:val="auto"/>
          <w:spacing w:val="0"/>
          <w:w w:val="100"/>
          <w:position w:val="0"/>
          <w:sz w:val="28"/>
          <w:szCs w:val="28"/>
          <w:highlight w:val="none"/>
        </w:rPr>
        <w:t>《中华人民共和国突发事件应对法》《危险化学品安全管理条例》《饮用水水源保护区污染防治管理规定》《突发环境事件信息报告办法》《突发环境事件调查处理办法》《突发环境事件应急管理办法》《城市供水水质管理规定》《生活饮用水卫生监督管理办法》《国家突发环境事件应急预案》《国家突发公共事件总体应急预案》《国家安全生产事故灾难应急预案》《地表水环境质量标准》《突发环境事件应急监测技术规范》《集中式饮用水水源地规范化建设环境保护技术要求》《集中式饮用水水源地环境保护状况评估技术规范》《企业突发环境事件风险分级方法》《突发环境事件应急预案管理暂行办法》《集中式地表饮用水水源地环境应急管理工作指南》《集中式饮用水水源环境保护指南（试行）》《企业突发环境事件风险评估指南（试行）》《企业事业单位突发环境事件应急预案备案管理办法（试行）》《行政区域突发环境事件风险评估推荐方法》《集中式地表水饮用水水源地突发环境事件应急预案编制指南（试行）》《黑龙江省人民政府突发公共事件总体应急预案》《黑龙江省突发事件应急预案管理办法》《伊春市人民政府突发事件总体应急预案》《伊春市突发环境事件应急预案》《伊春市集中式地表水饮用水水源地突发环境事件专项应急预案》等。</w:t>
      </w:r>
    </w:p>
    <w:p w14:paraId="0B36A63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40" w:name="_Toc9286"/>
      <w:bookmarkStart w:id="41" w:name="_Toc21454"/>
      <w:bookmarkStart w:id="42" w:name="_Toc10331"/>
      <w:bookmarkStart w:id="43" w:name="_Toc22948"/>
      <w:bookmarkStart w:id="44" w:name="_Toc21604"/>
      <w:bookmarkStart w:id="45" w:name="_Toc18025"/>
      <w:bookmarkStart w:id="46" w:name="_Toc21306"/>
      <w:r>
        <w:rPr>
          <w:rFonts w:ascii="楷体" w:hAnsi="楷体" w:eastAsia="楷体" w:cs="楷体"/>
          <w:color w:val="auto"/>
          <w:spacing w:val="0"/>
          <w:w w:val="100"/>
          <w:position w:val="0"/>
          <w:sz w:val="28"/>
          <w:szCs w:val="28"/>
          <w:highlight w:val="none"/>
        </w:rPr>
        <w:t>1.3适用范围</w:t>
      </w:r>
      <w:bookmarkEnd w:id="40"/>
      <w:bookmarkEnd w:id="41"/>
      <w:bookmarkEnd w:id="42"/>
      <w:bookmarkEnd w:id="43"/>
      <w:bookmarkEnd w:id="44"/>
      <w:bookmarkEnd w:id="45"/>
      <w:bookmarkEnd w:id="46"/>
    </w:p>
    <w:p w14:paraId="6845696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本预案适用的地域范围（即启动水源地应急预案的范围），</w:t>
      </w:r>
      <w:r>
        <w:rPr>
          <w:rFonts w:hint="eastAsia" w:ascii="仿宋" w:hAnsi="仿宋" w:eastAsia="仿宋" w:cs="仿宋"/>
          <w:color w:val="auto"/>
          <w:spacing w:val="0"/>
          <w:w w:val="100"/>
          <w:position w:val="0"/>
          <w:sz w:val="28"/>
          <w:szCs w:val="28"/>
          <w:highlight w:val="none"/>
        </w:rPr>
        <w:t>包括水源保护区、水源保护区边界向上游连接水体及周边汇水区域上溯24小时流程范围内的水域和分水岭内的陆域，最大不超过汇水区域的范围。</w:t>
      </w:r>
    </w:p>
    <w:p w14:paraId="1D1E211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47" w:name="_Toc5052"/>
      <w:bookmarkStart w:id="48" w:name="_Toc4535"/>
      <w:bookmarkStart w:id="49" w:name="_Toc5008"/>
      <w:bookmarkStart w:id="50" w:name="_Toc30997"/>
      <w:bookmarkStart w:id="51" w:name="_Toc24824"/>
      <w:bookmarkStart w:id="52" w:name="_Toc32758"/>
      <w:bookmarkStart w:id="53" w:name="_Toc31000"/>
      <w:r>
        <w:rPr>
          <w:rFonts w:ascii="楷体" w:hAnsi="楷体" w:eastAsia="楷体" w:cs="楷体"/>
          <w:color w:val="auto"/>
          <w:spacing w:val="0"/>
          <w:w w:val="100"/>
          <w:position w:val="0"/>
          <w:sz w:val="28"/>
          <w:szCs w:val="28"/>
          <w:highlight w:val="none"/>
        </w:rPr>
        <w:t>1.4工作原则</w:t>
      </w:r>
      <w:bookmarkEnd w:id="47"/>
      <w:bookmarkEnd w:id="48"/>
      <w:bookmarkEnd w:id="49"/>
      <w:bookmarkEnd w:id="50"/>
      <w:bookmarkEnd w:id="51"/>
      <w:bookmarkEnd w:id="52"/>
      <w:bookmarkEnd w:id="53"/>
    </w:p>
    <w:p w14:paraId="735916C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突发环境事件应对工作坚持以人为本、预防为主，统一领导</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分级负责</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属地为主</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条块结合</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部门</w:t>
      </w:r>
      <w:r>
        <w:rPr>
          <w:rFonts w:hint="eastAsia" w:ascii="仿宋" w:hAnsi="仿宋" w:eastAsia="仿宋" w:cs="仿宋"/>
          <w:color w:val="auto"/>
          <w:spacing w:val="0"/>
          <w:w w:val="100"/>
          <w:position w:val="0"/>
          <w:sz w:val="28"/>
          <w:szCs w:val="28"/>
          <w:highlight w:val="none"/>
          <w:lang w:eastAsia="zh-CN"/>
        </w:rPr>
        <w:t>联动、</w:t>
      </w:r>
      <w:r>
        <w:rPr>
          <w:rFonts w:ascii="仿宋" w:hAnsi="仿宋" w:eastAsia="仿宋" w:cs="仿宋"/>
          <w:color w:val="auto"/>
          <w:spacing w:val="0"/>
          <w:w w:val="100"/>
          <w:position w:val="0"/>
          <w:sz w:val="28"/>
          <w:szCs w:val="28"/>
          <w:highlight w:val="none"/>
        </w:rPr>
        <w:t>资源共享</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科学应对</w:t>
      </w:r>
      <w:r>
        <w:rPr>
          <w:rFonts w:hint="eastAsia" w:ascii="仿宋" w:hAnsi="仿宋" w:eastAsia="仿宋" w:cs="仿宋"/>
          <w:color w:val="auto"/>
          <w:spacing w:val="0"/>
          <w:w w:val="100"/>
          <w:position w:val="0"/>
          <w:sz w:val="28"/>
          <w:szCs w:val="28"/>
          <w:highlight w:val="none"/>
          <w:lang w:eastAsia="zh-CN"/>
        </w:rPr>
        <w:t>、公开</w:t>
      </w:r>
      <w:r>
        <w:rPr>
          <w:rFonts w:ascii="仿宋" w:hAnsi="仿宋" w:eastAsia="仿宋" w:cs="仿宋"/>
          <w:color w:val="auto"/>
          <w:spacing w:val="0"/>
          <w:w w:val="100"/>
          <w:position w:val="0"/>
          <w:sz w:val="28"/>
          <w:szCs w:val="28"/>
          <w:highlight w:val="none"/>
        </w:rPr>
        <w:t>透明</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及时发布</w:t>
      </w:r>
      <w:r>
        <w:rPr>
          <w:rFonts w:hint="eastAsia" w:ascii="仿宋" w:hAnsi="仿宋" w:eastAsia="仿宋" w:cs="仿宋"/>
          <w:color w:val="auto"/>
          <w:spacing w:val="0"/>
          <w:w w:val="100"/>
          <w:position w:val="0"/>
          <w:sz w:val="28"/>
          <w:szCs w:val="28"/>
          <w:highlight w:val="none"/>
          <w:lang w:eastAsia="zh-CN"/>
        </w:rPr>
        <w:t>信息的</w:t>
      </w:r>
      <w:r>
        <w:rPr>
          <w:rFonts w:ascii="仿宋" w:hAnsi="仿宋" w:eastAsia="仿宋" w:cs="仿宋"/>
          <w:color w:val="auto"/>
          <w:spacing w:val="0"/>
          <w:w w:val="100"/>
          <w:position w:val="0"/>
          <w:sz w:val="28"/>
          <w:szCs w:val="28"/>
          <w:highlight w:val="none"/>
        </w:rPr>
        <w:t>原则。突发环境事件发生后，在区政府的统一领导下，各有关部门立即按照职责分工和相关预案的规定开展应急响应工作。本预案服从市级预案要求，本区各相关管理单位预案服从本预案要求。</w:t>
      </w:r>
    </w:p>
    <w:p w14:paraId="6896904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0"/>
        <w:rPr>
          <w:rFonts w:ascii="黑体" w:hAnsi="黑体" w:eastAsia="黑体" w:cs="黑体"/>
          <w:color w:val="auto"/>
          <w:spacing w:val="0"/>
          <w:w w:val="100"/>
          <w:position w:val="0"/>
          <w:sz w:val="28"/>
          <w:szCs w:val="28"/>
          <w:highlight w:val="none"/>
        </w:rPr>
      </w:pPr>
      <w:bookmarkStart w:id="54" w:name="_Toc9336"/>
      <w:bookmarkStart w:id="55" w:name="_Toc9441"/>
      <w:bookmarkStart w:id="56" w:name="_Toc29652"/>
      <w:bookmarkStart w:id="57" w:name="_Toc12380"/>
      <w:bookmarkStart w:id="58" w:name="_Toc1248"/>
      <w:bookmarkStart w:id="59" w:name="_Toc19965"/>
      <w:bookmarkStart w:id="60" w:name="_Toc31638"/>
      <w:r>
        <w:rPr>
          <w:rFonts w:ascii="黑体" w:hAnsi="黑体" w:eastAsia="黑体" w:cs="黑体"/>
          <w:color w:val="auto"/>
          <w:spacing w:val="0"/>
          <w:w w:val="100"/>
          <w:position w:val="0"/>
          <w:sz w:val="28"/>
          <w:szCs w:val="28"/>
          <w:highlight w:val="none"/>
        </w:rPr>
        <w:t>2应急组织指挥体系</w:t>
      </w:r>
      <w:bookmarkEnd w:id="54"/>
      <w:bookmarkEnd w:id="55"/>
      <w:bookmarkEnd w:id="56"/>
      <w:bookmarkEnd w:id="57"/>
      <w:bookmarkEnd w:id="58"/>
      <w:bookmarkEnd w:id="59"/>
      <w:bookmarkEnd w:id="60"/>
    </w:p>
    <w:p w14:paraId="522FBA3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集中式地表水饮用水水源地突发环境事件应急组织指挥体系由区集中式地表水饮用水水源地突发环境事件应急指挥部、现场应急指挥部、现场应急工作组组成。水源地管理单位成立应急指挥部，并受区级突发环境事件应急指挥部统一领导。</w:t>
      </w:r>
    </w:p>
    <w:p w14:paraId="20BAA82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61" w:name="bookmark61"/>
      <w:bookmarkEnd w:id="61"/>
      <w:bookmarkStart w:id="62" w:name="_Toc13116"/>
      <w:bookmarkStart w:id="63" w:name="_Toc16942"/>
      <w:bookmarkStart w:id="64" w:name="_Toc13547"/>
      <w:bookmarkStart w:id="65" w:name="_Toc16525"/>
      <w:bookmarkStart w:id="66" w:name="_Toc395"/>
      <w:bookmarkStart w:id="67" w:name="_Toc304"/>
      <w:bookmarkStart w:id="68" w:name="_Toc211"/>
      <w:r>
        <w:rPr>
          <w:rFonts w:ascii="楷体" w:hAnsi="楷体" w:eastAsia="楷体" w:cs="楷体"/>
          <w:color w:val="auto"/>
          <w:spacing w:val="0"/>
          <w:w w:val="100"/>
          <w:position w:val="0"/>
          <w:sz w:val="28"/>
          <w:szCs w:val="28"/>
          <w:highlight w:val="none"/>
        </w:rPr>
        <w:t>2.1区集中式地表水饮用水水源地突发环境事件应急指挥部</w:t>
      </w:r>
      <w:bookmarkEnd w:id="62"/>
      <w:bookmarkEnd w:id="63"/>
      <w:bookmarkEnd w:id="64"/>
      <w:bookmarkEnd w:id="65"/>
      <w:bookmarkEnd w:id="66"/>
      <w:bookmarkEnd w:id="67"/>
      <w:bookmarkEnd w:id="68"/>
    </w:p>
    <w:p w14:paraId="3461C06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楷体" w:hAnsi="楷体" w:eastAsia="楷体" w:cs="楷体"/>
          <w:color w:val="auto"/>
          <w:spacing w:val="0"/>
          <w:w w:val="100"/>
          <w:position w:val="0"/>
          <w:sz w:val="28"/>
          <w:szCs w:val="28"/>
          <w:highlight w:val="none"/>
        </w:rPr>
        <w:sectPr>
          <w:footerReference r:id="rId5" w:type="default"/>
          <w:pgSz w:w="12240" w:h="15840"/>
          <w:pgMar w:top="1440" w:right="1800" w:bottom="1440" w:left="1800" w:header="0" w:footer="1509" w:gutter="0"/>
          <w:pgNumType w:fmt="decimal" w:start="1"/>
          <w:cols w:space="720" w:num="1"/>
        </w:sectPr>
      </w:pPr>
    </w:p>
    <w:p w14:paraId="72656A3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政府成立乌翠区集中式地表水饮用水水源地突发环境事件应急指挥部（以下简称区指挥部），作为全区水源地突发环境事件指挥和协调机构，负责全区水源地突发环境事件的应急处置工作。总指挥由区政府分管副区长担任，副总指挥由区生态环境局局长</w:t>
      </w:r>
      <w:r>
        <w:rPr>
          <w:rFonts w:hint="eastAsia" w:ascii="仿宋" w:hAnsi="仿宋" w:eastAsia="仿宋" w:cs="仿宋"/>
          <w:color w:val="auto"/>
          <w:spacing w:val="0"/>
          <w:w w:val="100"/>
          <w:position w:val="0"/>
          <w:sz w:val="28"/>
          <w:szCs w:val="28"/>
          <w:highlight w:val="none"/>
          <w:lang w:val="en-US" w:eastAsia="zh-CN"/>
        </w:rPr>
        <w:t>和应急管理局局长</w:t>
      </w:r>
      <w:r>
        <w:rPr>
          <w:rFonts w:ascii="仿宋" w:hAnsi="仿宋" w:eastAsia="仿宋" w:cs="仿宋"/>
          <w:color w:val="auto"/>
          <w:spacing w:val="0"/>
          <w:w w:val="100"/>
          <w:position w:val="0"/>
          <w:sz w:val="28"/>
          <w:szCs w:val="28"/>
          <w:highlight w:val="none"/>
        </w:rPr>
        <w:t>担任。成员由区委宣传部、区生态环境局、区应急管理局、区林草局（区农业农村局）、区水务局、区卫生健康局、区消防救援大队、区公安局、区交通运输局、区自然资源局、区财政局及水源地管理单位分管负责同志担任。区指挥部办公室（以下简称区指办）设在区生态环境局，办公室主任由区生态环境局局长兼任。</w:t>
      </w:r>
    </w:p>
    <w:p w14:paraId="1EA23C2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69" w:name="_Toc16372"/>
      <w:bookmarkStart w:id="70" w:name="_Toc25917"/>
      <w:bookmarkStart w:id="71" w:name="_Toc26459"/>
      <w:bookmarkStart w:id="72" w:name="_Toc3725"/>
      <w:bookmarkStart w:id="73" w:name="_Toc1528"/>
      <w:bookmarkStart w:id="74" w:name="_Toc24165"/>
      <w:bookmarkStart w:id="75" w:name="_Toc4096"/>
      <w:r>
        <w:rPr>
          <w:rFonts w:ascii="楷体" w:hAnsi="楷体" w:eastAsia="楷体" w:cs="楷体"/>
          <w:color w:val="auto"/>
          <w:spacing w:val="0"/>
          <w:w w:val="100"/>
          <w:position w:val="0"/>
          <w:sz w:val="28"/>
          <w:szCs w:val="28"/>
          <w:highlight w:val="none"/>
        </w:rPr>
        <w:t>2.2现场应急指挥部</w:t>
      </w:r>
      <w:bookmarkEnd w:id="69"/>
      <w:bookmarkEnd w:id="70"/>
      <w:bookmarkEnd w:id="71"/>
      <w:bookmarkEnd w:id="72"/>
      <w:bookmarkEnd w:id="73"/>
      <w:bookmarkEnd w:id="74"/>
      <w:bookmarkEnd w:id="75"/>
    </w:p>
    <w:p w14:paraId="23E7B37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当信息研判和会商判断水源地水质可能受影响时或事件发生后，区指挥部根据事件发展态势及应急响应的工作需要设立现场应急指挥部（以下简称现场指挥部），负责现场指挥工作。</w:t>
      </w:r>
    </w:p>
    <w:p w14:paraId="3C5A54E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76" w:name="bookmark62"/>
      <w:bookmarkEnd w:id="76"/>
      <w:bookmarkStart w:id="77" w:name="_Toc22843"/>
      <w:bookmarkStart w:id="78" w:name="_Toc19342"/>
      <w:bookmarkStart w:id="79" w:name="_Toc27482"/>
      <w:bookmarkStart w:id="80" w:name="_Toc939"/>
      <w:bookmarkStart w:id="81" w:name="_Toc30386"/>
      <w:bookmarkStart w:id="82" w:name="_Toc32022"/>
      <w:bookmarkStart w:id="83" w:name="_Toc16369"/>
      <w:r>
        <w:rPr>
          <w:rFonts w:ascii="楷体" w:hAnsi="楷体" w:eastAsia="楷体" w:cs="楷体"/>
          <w:color w:val="auto"/>
          <w:spacing w:val="0"/>
          <w:w w:val="100"/>
          <w:position w:val="0"/>
          <w:sz w:val="28"/>
          <w:szCs w:val="28"/>
          <w:highlight w:val="none"/>
        </w:rPr>
        <w:t>2.3现场应急工作组</w:t>
      </w:r>
      <w:bookmarkEnd w:id="77"/>
      <w:bookmarkEnd w:id="78"/>
      <w:bookmarkEnd w:id="79"/>
      <w:bookmarkEnd w:id="80"/>
      <w:bookmarkEnd w:id="81"/>
      <w:bookmarkEnd w:id="82"/>
      <w:bookmarkEnd w:id="83"/>
    </w:p>
    <w:p w14:paraId="723FFF5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事件发生后，现场指挥部根据事件现场实际情况成立现场应急工作组，工作组包括应急处置组、应急监测组、应急供水保障组、应急物资保障组、应急调查组、应急专家组、善后处置组以及新闻宣传组等。</w:t>
      </w:r>
    </w:p>
    <w:p w14:paraId="21F0FD7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0"/>
        <w:rPr>
          <w:rFonts w:ascii="黑体" w:hAnsi="黑体" w:eastAsia="黑体" w:cs="黑体"/>
          <w:color w:val="auto"/>
          <w:spacing w:val="0"/>
          <w:w w:val="100"/>
          <w:position w:val="0"/>
          <w:sz w:val="28"/>
          <w:szCs w:val="28"/>
          <w:highlight w:val="none"/>
        </w:rPr>
      </w:pPr>
      <w:bookmarkStart w:id="84" w:name="_Toc732"/>
      <w:bookmarkStart w:id="85" w:name="_Toc15622"/>
      <w:bookmarkStart w:id="86" w:name="_Toc29757"/>
      <w:bookmarkStart w:id="87" w:name="_Toc23807"/>
      <w:bookmarkStart w:id="88" w:name="_Toc9482"/>
      <w:bookmarkStart w:id="89" w:name="_Toc18633"/>
      <w:bookmarkStart w:id="90" w:name="_Toc16913"/>
      <w:r>
        <w:rPr>
          <w:rFonts w:ascii="黑体" w:hAnsi="黑体" w:eastAsia="黑体" w:cs="黑体"/>
          <w:color w:val="auto"/>
          <w:spacing w:val="0"/>
          <w:w w:val="100"/>
          <w:position w:val="0"/>
          <w:sz w:val="28"/>
          <w:szCs w:val="28"/>
          <w:highlight w:val="none"/>
        </w:rPr>
        <w:t>3应急响应</w:t>
      </w:r>
      <w:bookmarkEnd w:id="84"/>
      <w:bookmarkEnd w:id="85"/>
      <w:bookmarkEnd w:id="86"/>
      <w:bookmarkEnd w:id="87"/>
      <w:bookmarkEnd w:id="88"/>
      <w:bookmarkEnd w:id="89"/>
      <w:bookmarkEnd w:id="90"/>
    </w:p>
    <w:p w14:paraId="7BB95A5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91" w:name="_Toc18662"/>
      <w:bookmarkStart w:id="92" w:name="_Toc21882"/>
      <w:bookmarkStart w:id="93" w:name="_Toc2403"/>
      <w:bookmarkStart w:id="94" w:name="_Toc23324"/>
      <w:bookmarkStart w:id="95" w:name="_Toc4320"/>
      <w:bookmarkStart w:id="96" w:name="_Toc21686"/>
      <w:bookmarkStart w:id="97" w:name="_Toc28140"/>
      <w:r>
        <w:rPr>
          <w:rFonts w:ascii="楷体" w:hAnsi="楷体" w:eastAsia="楷体" w:cs="楷体"/>
          <w:color w:val="auto"/>
          <w:spacing w:val="0"/>
          <w:w w:val="100"/>
          <w:position w:val="0"/>
          <w:sz w:val="28"/>
          <w:szCs w:val="28"/>
          <w:highlight w:val="none"/>
        </w:rPr>
        <w:t>3.1预警</w:t>
      </w:r>
      <w:bookmarkEnd w:id="91"/>
      <w:bookmarkEnd w:id="92"/>
      <w:bookmarkEnd w:id="93"/>
      <w:bookmarkEnd w:id="94"/>
      <w:bookmarkEnd w:id="95"/>
      <w:bookmarkEnd w:id="96"/>
      <w:bookmarkEnd w:id="97"/>
    </w:p>
    <w:p w14:paraId="16A09F3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98" w:name="bookmark63"/>
      <w:bookmarkEnd w:id="98"/>
      <w:bookmarkStart w:id="99" w:name="_Toc21871"/>
      <w:bookmarkStart w:id="100" w:name="_Toc23702"/>
      <w:r>
        <w:rPr>
          <w:rFonts w:ascii="仿宋" w:hAnsi="仿宋" w:eastAsia="仿宋" w:cs="仿宋"/>
          <w:color w:val="auto"/>
          <w:spacing w:val="0"/>
          <w:w w:val="100"/>
          <w:position w:val="0"/>
          <w:sz w:val="28"/>
          <w:szCs w:val="28"/>
          <w:highlight w:val="none"/>
        </w:rPr>
        <w:t>3.1.1预警分级</w:t>
      </w:r>
      <w:bookmarkEnd w:id="99"/>
      <w:bookmarkEnd w:id="100"/>
    </w:p>
    <w:p w14:paraId="765E317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01" w:name="_Toc12980"/>
      <w:bookmarkStart w:id="102" w:name="_Toc3737"/>
      <w:r>
        <w:rPr>
          <w:rFonts w:ascii="仿宋" w:hAnsi="仿宋" w:eastAsia="仿宋" w:cs="仿宋"/>
          <w:color w:val="auto"/>
          <w:spacing w:val="0"/>
          <w:w w:val="100"/>
          <w:position w:val="0"/>
          <w:sz w:val="28"/>
          <w:szCs w:val="28"/>
          <w:highlight w:val="none"/>
        </w:rPr>
        <w:t>依据水源地突发环境事件即将造成的危害程度、发展情况和紧迫性等因素，由低到高划分为严重（橙色）、特别严重（红色</w:t>
      </w:r>
      <w:r>
        <w:rPr>
          <w:rFonts w:hint="eastAsia" w:ascii="仿宋" w:hAnsi="仿宋" w:eastAsia="仿宋" w:cs="仿宋"/>
          <w:color w:val="auto"/>
          <w:spacing w:val="0"/>
          <w:w w:val="100"/>
          <w:position w:val="0"/>
          <w:sz w:val="28"/>
          <w:szCs w:val="28"/>
          <w:highlight w:val="none"/>
          <w:lang w:eastAsia="zh-CN"/>
        </w:rPr>
        <w:t>）两个</w:t>
      </w:r>
      <w:r>
        <w:rPr>
          <w:rFonts w:ascii="仿宋" w:hAnsi="仿宋" w:eastAsia="仿宋" w:cs="仿宋"/>
          <w:color w:val="auto"/>
          <w:spacing w:val="0"/>
          <w:w w:val="100"/>
          <w:position w:val="0"/>
          <w:sz w:val="28"/>
          <w:szCs w:val="28"/>
          <w:highlight w:val="none"/>
        </w:rPr>
        <w:t>预警级别。</w:t>
      </w:r>
      <w:bookmarkEnd w:id="101"/>
      <w:bookmarkEnd w:id="102"/>
    </w:p>
    <w:p w14:paraId="1B0F9F6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03" w:name="bookmark64"/>
      <w:bookmarkEnd w:id="103"/>
      <w:bookmarkStart w:id="104" w:name="_Toc27385"/>
      <w:bookmarkStart w:id="105" w:name="_Toc6033"/>
      <w:r>
        <w:rPr>
          <w:rFonts w:ascii="仿宋" w:hAnsi="仿宋" w:eastAsia="仿宋" w:cs="仿宋"/>
          <w:color w:val="auto"/>
          <w:spacing w:val="0"/>
          <w:w w:val="100"/>
          <w:position w:val="0"/>
          <w:sz w:val="28"/>
          <w:szCs w:val="28"/>
          <w:highlight w:val="none"/>
        </w:rPr>
        <w:t>3.1.2预警的启动条件</w:t>
      </w:r>
      <w:bookmarkEnd w:id="104"/>
      <w:bookmarkEnd w:id="105"/>
    </w:p>
    <w:p w14:paraId="1C536BA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根据信息获取方式，综合考虑突发事件类型、发生地点、污染物质种类和数量等情况，橙色、红色预警的启动条件如下：</w:t>
      </w:r>
    </w:p>
    <w:p w14:paraId="0B1E0AB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3.1.2.1橙色预警</w:t>
      </w:r>
    </w:p>
    <w:p w14:paraId="56EB27D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下列情形均可作为橙色预警启动条件。</w:t>
      </w:r>
    </w:p>
    <w:p w14:paraId="4FBCB66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1</w:t>
      </w:r>
      <w:r>
        <w:rPr>
          <w:rFonts w:ascii="仿宋" w:hAnsi="仿宋" w:eastAsia="仿宋" w:cs="仿宋"/>
          <w:color w:val="auto"/>
          <w:spacing w:val="0"/>
          <w:w w:val="100"/>
          <w:position w:val="0"/>
          <w:sz w:val="28"/>
          <w:szCs w:val="28"/>
          <w:highlight w:val="none"/>
        </w:rPr>
        <w:t>）在一级、二级保护区内</w:t>
      </w:r>
      <w:r>
        <w:rPr>
          <w:rFonts w:hint="eastAsia" w:ascii="仿宋" w:hAnsi="仿宋" w:eastAsia="仿宋" w:cs="仿宋"/>
          <w:color w:val="auto"/>
          <w:spacing w:val="0"/>
          <w:w w:val="100"/>
          <w:position w:val="0"/>
          <w:sz w:val="28"/>
          <w:szCs w:val="28"/>
          <w:highlight w:val="none"/>
          <w:lang w:eastAsia="zh-CN"/>
        </w:rPr>
        <w:t>，可能</w:t>
      </w:r>
      <w:r>
        <w:rPr>
          <w:rFonts w:ascii="仿宋" w:hAnsi="仿宋" w:eastAsia="仿宋" w:cs="仿宋"/>
          <w:color w:val="auto"/>
          <w:spacing w:val="0"/>
          <w:w w:val="100"/>
          <w:position w:val="0"/>
          <w:sz w:val="28"/>
          <w:szCs w:val="28"/>
          <w:highlight w:val="none"/>
        </w:rPr>
        <w:t>由于自然灾害引发</w:t>
      </w:r>
      <w:r>
        <w:rPr>
          <w:rFonts w:hint="eastAsia" w:ascii="仿宋" w:hAnsi="仿宋" w:eastAsia="仿宋" w:cs="仿宋"/>
          <w:color w:val="auto"/>
          <w:spacing w:val="0"/>
          <w:w w:val="100"/>
          <w:position w:val="0"/>
          <w:sz w:val="28"/>
          <w:szCs w:val="28"/>
          <w:highlight w:val="none"/>
          <w:lang w:eastAsia="zh-CN"/>
        </w:rPr>
        <w:t>水源地</w:t>
      </w:r>
      <w:r>
        <w:rPr>
          <w:rFonts w:ascii="仿宋" w:hAnsi="仿宋" w:eastAsia="仿宋" w:cs="仿宋"/>
          <w:color w:val="auto"/>
          <w:spacing w:val="0"/>
          <w:w w:val="100"/>
          <w:position w:val="0"/>
          <w:sz w:val="28"/>
          <w:szCs w:val="28"/>
          <w:highlight w:val="none"/>
        </w:rPr>
        <w:t>突发环境事件；</w:t>
      </w:r>
    </w:p>
    <w:p w14:paraId="3E9282C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2</w:t>
      </w:r>
      <w:r>
        <w:rPr>
          <w:rFonts w:ascii="仿宋" w:hAnsi="仿宋" w:eastAsia="仿宋" w:cs="仿宋"/>
          <w:color w:val="auto"/>
          <w:spacing w:val="0"/>
          <w:w w:val="100"/>
          <w:position w:val="0"/>
          <w:sz w:val="28"/>
          <w:szCs w:val="28"/>
          <w:highlight w:val="none"/>
        </w:rPr>
        <w:t>）在二级保护区上游汇水区域内</w:t>
      </w:r>
      <w:r>
        <w:rPr>
          <w:rFonts w:ascii="Times New Roman" w:hAnsi="Times New Roman" w:eastAsia="Times New Roman" w:cs="Times New Roman"/>
          <w:color w:val="auto"/>
          <w:spacing w:val="0"/>
          <w:w w:val="100"/>
          <w:position w:val="0"/>
          <w:sz w:val="28"/>
          <w:szCs w:val="28"/>
          <w:highlight w:val="none"/>
        </w:rPr>
        <w:t>8</w:t>
      </w:r>
      <w:r>
        <w:rPr>
          <w:rFonts w:ascii="仿宋" w:hAnsi="仿宋" w:eastAsia="仿宋" w:cs="仿宋"/>
          <w:color w:val="auto"/>
          <w:spacing w:val="0"/>
          <w:w w:val="100"/>
          <w:position w:val="0"/>
          <w:sz w:val="28"/>
          <w:szCs w:val="28"/>
          <w:highlight w:val="none"/>
        </w:rPr>
        <w:t>小时流程范围外发生固定源或流动源突发环境事件，或污染物已扩散至距水源保护区上游连接水体的直线距离超过</w:t>
      </w:r>
      <w:r>
        <w:rPr>
          <w:rFonts w:ascii="Times New Roman" w:hAnsi="Times New Roman" w:eastAsia="Times New Roman" w:cs="Times New Roman"/>
          <w:color w:val="auto"/>
          <w:spacing w:val="0"/>
          <w:w w:val="100"/>
          <w:position w:val="0"/>
          <w:sz w:val="28"/>
          <w:szCs w:val="28"/>
          <w:highlight w:val="none"/>
        </w:rPr>
        <w:t>200</w:t>
      </w:r>
      <w:r>
        <w:rPr>
          <w:rFonts w:ascii="仿宋" w:hAnsi="仿宋" w:eastAsia="仿宋" w:cs="仿宋"/>
          <w:color w:val="auto"/>
          <w:spacing w:val="0"/>
          <w:w w:val="100"/>
          <w:position w:val="0"/>
          <w:sz w:val="28"/>
          <w:szCs w:val="28"/>
          <w:highlight w:val="none"/>
        </w:rPr>
        <w:t>米的陆域或水域；</w:t>
      </w:r>
    </w:p>
    <w:p w14:paraId="278B5CC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3</w:t>
      </w:r>
      <w:r>
        <w:rPr>
          <w:rFonts w:hint="eastAsia" w:ascii="Times New Roman" w:hAnsi="Times New Roman" w:eastAsia="宋体" w:cs="Times New Roman"/>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二级保护区重点湖库水质和二级保护区上游汇水区域水体水质有发生水华灾害事件的趋势。</w:t>
      </w:r>
    </w:p>
    <w:p w14:paraId="12AC2F0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3.1.2.2红色预警</w:t>
      </w:r>
    </w:p>
    <w:p w14:paraId="0C91FEF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下列情形均可作为红色预警启动条件。</w:t>
      </w:r>
    </w:p>
    <w:p w14:paraId="4A21730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1</w:t>
      </w:r>
      <w:r>
        <w:rPr>
          <w:rFonts w:ascii="仿宋" w:hAnsi="仿宋" w:eastAsia="仿宋" w:cs="仿宋"/>
          <w:color w:val="auto"/>
          <w:spacing w:val="0"/>
          <w:w w:val="100"/>
          <w:position w:val="0"/>
          <w:sz w:val="28"/>
          <w:szCs w:val="28"/>
          <w:highlight w:val="none"/>
        </w:rPr>
        <w:t>）在一级、二级保护区内发生突发环境事件；</w:t>
      </w:r>
    </w:p>
    <w:p w14:paraId="1D82693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2</w:t>
      </w:r>
      <w:r>
        <w:rPr>
          <w:rFonts w:ascii="仿宋" w:hAnsi="仿宋" w:eastAsia="仿宋" w:cs="仿宋"/>
          <w:color w:val="auto"/>
          <w:spacing w:val="0"/>
          <w:w w:val="100"/>
          <w:position w:val="0"/>
          <w:sz w:val="28"/>
          <w:szCs w:val="28"/>
          <w:highlight w:val="none"/>
        </w:rPr>
        <w:t>）在二级保护区上游汇水区域</w:t>
      </w:r>
      <w:r>
        <w:rPr>
          <w:rFonts w:ascii="Times New Roman" w:hAnsi="Times New Roman" w:eastAsia="Times New Roman" w:cs="Times New Roman"/>
          <w:color w:val="auto"/>
          <w:spacing w:val="0"/>
          <w:w w:val="100"/>
          <w:position w:val="0"/>
          <w:sz w:val="28"/>
          <w:szCs w:val="28"/>
          <w:highlight w:val="none"/>
        </w:rPr>
        <w:t>4</w:t>
      </w:r>
      <w:r>
        <w:rPr>
          <w:rFonts w:ascii="仿宋" w:hAnsi="仿宋" w:eastAsia="仿宋" w:cs="仿宋"/>
          <w:color w:val="auto"/>
          <w:spacing w:val="0"/>
          <w:w w:val="100"/>
          <w:position w:val="0"/>
          <w:sz w:val="28"/>
          <w:szCs w:val="28"/>
          <w:highlight w:val="none"/>
        </w:rPr>
        <w:t>小时流程范围内发生固定源或流动源突发环境事件，或污染物已扩散至距水源保护区上游连接水体的直线距离不足</w:t>
      </w:r>
      <w:r>
        <w:rPr>
          <w:rFonts w:ascii="Times New Roman" w:hAnsi="Times New Roman" w:eastAsia="Times New Roman" w:cs="Times New Roman"/>
          <w:color w:val="auto"/>
          <w:spacing w:val="0"/>
          <w:w w:val="100"/>
          <w:position w:val="0"/>
          <w:sz w:val="28"/>
          <w:szCs w:val="28"/>
          <w:highlight w:val="none"/>
        </w:rPr>
        <w:t>100</w:t>
      </w:r>
      <w:r>
        <w:rPr>
          <w:rFonts w:ascii="仿宋" w:hAnsi="仿宋" w:eastAsia="仿宋" w:cs="仿宋"/>
          <w:color w:val="auto"/>
          <w:spacing w:val="0"/>
          <w:w w:val="100"/>
          <w:position w:val="0"/>
          <w:sz w:val="28"/>
          <w:szCs w:val="28"/>
          <w:highlight w:val="none"/>
        </w:rPr>
        <w:t>米的陆域或水域；</w:t>
      </w:r>
    </w:p>
    <w:p w14:paraId="673CDBF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3</w:t>
      </w:r>
      <w:r>
        <w:rPr>
          <w:rFonts w:ascii="仿宋" w:hAnsi="仿宋" w:eastAsia="仿宋" w:cs="仿宋"/>
          <w:color w:val="auto"/>
          <w:spacing w:val="0"/>
          <w:w w:val="100"/>
          <w:position w:val="0"/>
          <w:sz w:val="28"/>
          <w:szCs w:val="28"/>
          <w:highlight w:val="none"/>
        </w:rPr>
        <w:t>）在二级保护区上游汇水区域</w:t>
      </w:r>
      <w:r>
        <w:rPr>
          <w:rFonts w:ascii="Times New Roman" w:hAnsi="Times New Roman" w:eastAsia="Times New Roman" w:cs="Times New Roman"/>
          <w:color w:val="auto"/>
          <w:spacing w:val="0"/>
          <w:w w:val="100"/>
          <w:position w:val="0"/>
          <w:sz w:val="28"/>
          <w:szCs w:val="28"/>
          <w:highlight w:val="none"/>
        </w:rPr>
        <w:t>8</w:t>
      </w:r>
      <w:r>
        <w:rPr>
          <w:rFonts w:ascii="仿宋" w:hAnsi="仿宋" w:eastAsia="仿宋" w:cs="仿宋"/>
          <w:color w:val="auto"/>
          <w:spacing w:val="0"/>
          <w:w w:val="100"/>
          <w:position w:val="0"/>
          <w:sz w:val="28"/>
          <w:szCs w:val="28"/>
          <w:highlight w:val="none"/>
        </w:rPr>
        <w:t>小时流程范围内发生固定源或流动源突发环境事件，或污染物已扩散至距水源保护区上游连接水体的直线距离不足</w:t>
      </w:r>
      <w:r>
        <w:rPr>
          <w:rFonts w:ascii="Times New Roman" w:hAnsi="Times New Roman" w:eastAsia="Times New Roman" w:cs="Times New Roman"/>
          <w:color w:val="auto"/>
          <w:spacing w:val="0"/>
          <w:w w:val="100"/>
          <w:position w:val="0"/>
          <w:sz w:val="28"/>
          <w:szCs w:val="28"/>
          <w:highlight w:val="none"/>
        </w:rPr>
        <w:t>200</w:t>
      </w:r>
      <w:r>
        <w:rPr>
          <w:rFonts w:ascii="仿宋" w:hAnsi="仿宋" w:eastAsia="仿宋" w:cs="仿宋"/>
          <w:color w:val="auto"/>
          <w:spacing w:val="0"/>
          <w:w w:val="100"/>
          <w:position w:val="0"/>
          <w:sz w:val="28"/>
          <w:szCs w:val="28"/>
          <w:highlight w:val="none"/>
        </w:rPr>
        <w:t>米的陆域或水域，经水质监测和信息研判，判断污染物迁移至取水口位置时，相应指标浓度仍会</w:t>
      </w:r>
      <w:r>
        <w:rPr>
          <w:rFonts w:hint="eastAsia" w:ascii="仿宋" w:hAnsi="仿宋" w:eastAsia="仿宋" w:cs="仿宋"/>
          <w:color w:val="auto"/>
          <w:spacing w:val="0"/>
          <w:w w:val="100"/>
          <w:position w:val="0"/>
          <w:sz w:val="28"/>
          <w:szCs w:val="28"/>
          <w:highlight w:val="none"/>
          <w:lang w:eastAsia="zh-CN"/>
        </w:rPr>
        <w:t>超标</w:t>
      </w:r>
      <w:r>
        <w:rPr>
          <w:rFonts w:ascii="仿宋" w:hAnsi="仿宋" w:eastAsia="仿宋" w:cs="仿宋"/>
          <w:color w:val="auto"/>
          <w:spacing w:val="0"/>
          <w:w w:val="100"/>
          <w:position w:val="0"/>
          <w:sz w:val="28"/>
          <w:szCs w:val="28"/>
          <w:highlight w:val="none"/>
        </w:rPr>
        <w:t>；</w:t>
      </w:r>
    </w:p>
    <w:p w14:paraId="00711F6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4</w:t>
      </w:r>
      <w:r>
        <w:rPr>
          <w:rFonts w:ascii="仿宋" w:hAnsi="仿宋" w:eastAsia="仿宋" w:cs="仿宋"/>
          <w:color w:val="auto"/>
          <w:spacing w:val="0"/>
          <w:w w:val="100"/>
          <w:position w:val="0"/>
          <w:sz w:val="28"/>
          <w:szCs w:val="28"/>
          <w:highlight w:val="none"/>
        </w:rPr>
        <w:t>）水源保护区或其上游连接水体理化指标异常；</w:t>
      </w:r>
    </w:p>
    <w:p w14:paraId="641BE08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①在二级保护区内，出现自动站水质监测指标超标或生物综合毒性异常，经实验室监（复）测确认的；</w:t>
      </w:r>
    </w:p>
    <w:p w14:paraId="77A7988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②在二级保护区上游</w:t>
      </w:r>
      <w:r>
        <w:rPr>
          <w:rFonts w:ascii="Times New Roman" w:hAnsi="Times New Roman" w:eastAsia="Times New Roman" w:cs="Times New Roman"/>
          <w:color w:val="auto"/>
          <w:spacing w:val="0"/>
          <w:w w:val="100"/>
          <w:position w:val="0"/>
          <w:sz w:val="28"/>
          <w:szCs w:val="28"/>
          <w:highlight w:val="none"/>
        </w:rPr>
        <w:t>8</w:t>
      </w:r>
      <w:r>
        <w:rPr>
          <w:rFonts w:ascii="仿宋" w:hAnsi="仿宋" w:eastAsia="仿宋" w:cs="仿宋"/>
          <w:color w:val="auto"/>
          <w:spacing w:val="0"/>
          <w:w w:val="100"/>
          <w:position w:val="0"/>
          <w:sz w:val="28"/>
          <w:szCs w:val="28"/>
          <w:highlight w:val="none"/>
        </w:rPr>
        <w:t>小时流程范围内，出现水质监测指标、有毒有害物质或生物综合毒性异常，且污染物浓度持续升高的；</w:t>
      </w:r>
    </w:p>
    <w:p w14:paraId="0681C04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③在二级保护区上游</w:t>
      </w:r>
      <w:r>
        <w:rPr>
          <w:rFonts w:ascii="Times New Roman" w:hAnsi="Times New Roman" w:eastAsia="Times New Roman" w:cs="Times New Roman"/>
          <w:color w:val="auto"/>
          <w:spacing w:val="0"/>
          <w:w w:val="100"/>
          <w:position w:val="0"/>
          <w:sz w:val="28"/>
          <w:szCs w:val="28"/>
          <w:highlight w:val="none"/>
        </w:rPr>
        <w:t>4</w:t>
      </w:r>
      <w:r>
        <w:rPr>
          <w:rFonts w:ascii="仿宋" w:hAnsi="仿宋" w:eastAsia="仿宋" w:cs="仿宋"/>
          <w:color w:val="auto"/>
          <w:spacing w:val="0"/>
          <w:w w:val="100"/>
          <w:position w:val="0"/>
          <w:sz w:val="28"/>
          <w:szCs w:val="28"/>
          <w:highlight w:val="none"/>
        </w:rPr>
        <w:t>小时流程范围内，出现水质监测指标、有毒有害物质或生物综合毒性异常的。</w:t>
      </w:r>
    </w:p>
    <w:p w14:paraId="3B44B62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5</w:t>
      </w:r>
      <w:r>
        <w:rPr>
          <w:rFonts w:ascii="仿宋" w:hAnsi="仿宋" w:eastAsia="仿宋" w:cs="仿宋"/>
          <w:color w:val="auto"/>
          <w:spacing w:val="0"/>
          <w:w w:val="100"/>
          <w:position w:val="0"/>
          <w:sz w:val="28"/>
          <w:szCs w:val="28"/>
          <w:highlight w:val="none"/>
        </w:rPr>
        <w:t>）水源保护区或其上游连接水体感官性状异常，即水体出现异常颜色或气味的；</w:t>
      </w:r>
    </w:p>
    <w:p w14:paraId="6ACA9B9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6</w:t>
      </w:r>
      <w:r>
        <w:rPr>
          <w:rFonts w:ascii="仿宋" w:hAnsi="仿宋" w:eastAsia="仿宋" w:cs="仿宋"/>
          <w:color w:val="auto"/>
          <w:spacing w:val="0"/>
          <w:w w:val="100"/>
          <w:position w:val="0"/>
          <w:sz w:val="28"/>
          <w:szCs w:val="28"/>
          <w:highlight w:val="none"/>
        </w:rPr>
        <w:t>）水源保护区或其上游连接水体生态指标异常，即水面出现大面积死鱼或生物综合毒性异常并经实验室监测后确认的。</w:t>
      </w:r>
    </w:p>
    <w:p w14:paraId="68B6AAC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06" w:name="bookmark65"/>
      <w:bookmarkEnd w:id="106"/>
      <w:bookmarkStart w:id="107" w:name="_Toc2011"/>
      <w:bookmarkStart w:id="108" w:name="_Toc17492"/>
      <w:r>
        <w:rPr>
          <w:rFonts w:ascii="仿宋" w:hAnsi="仿宋" w:eastAsia="仿宋" w:cs="仿宋"/>
          <w:color w:val="auto"/>
          <w:spacing w:val="0"/>
          <w:w w:val="100"/>
          <w:position w:val="0"/>
          <w:sz w:val="28"/>
          <w:szCs w:val="28"/>
          <w:highlight w:val="none"/>
        </w:rPr>
        <w:t>3.1.3发布预警和预警级别调整</w:t>
      </w:r>
      <w:bookmarkEnd w:id="107"/>
      <w:bookmarkEnd w:id="108"/>
    </w:p>
    <w:p w14:paraId="56376A3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3.1.3.1预警发布流程</w:t>
      </w:r>
    </w:p>
    <w:p w14:paraId="2B12855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区指办研判可能发生突发环境事件时，应当及时向区指挥部提出预警信息的发布建议，同时通报上级相关部门和单位。</w:t>
      </w:r>
    </w:p>
    <w:p w14:paraId="6C1D439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color w:val="auto"/>
          <w:spacing w:val="0"/>
          <w:w w:val="100"/>
          <w:position w:val="0"/>
          <w:highlight w:val="none"/>
        </w:rPr>
      </w:pPr>
      <w:r>
        <w:rPr>
          <w:rFonts w:ascii="仿宋" w:hAnsi="仿宋" w:eastAsia="仿宋" w:cs="仿宋"/>
          <w:color w:val="auto"/>
          <w:spacing w:val="0"/>
          <w:w w:val="100"/>
          <w:position w:val="0"/>
          <w:sz w:val="28"/>
          <w:szCs w:val="28"/>
          <w:highlight w:val="none"/>
        </w:rPr>
        <w:t>区级预警由区指挥部发布。橙色预警由副总指挥签发；红色预警由总指挥签发。</w:t>
      </w:r>
    </w:p>
    <w:p w14:paraId="427F351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3.1.3.2预警发布内容</w:t>
      </w:r>
    </w:p>
    <w:p w14:paraId="2044D96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预警信息发布内容主要包括事件类别、预警级别、可能影响范围、警示事项、应当采取的措施和发布机关等。</w:t>
      </w:r>
    </w:p>
    <w:p w14:paraId="502F6A7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3.1.3.3预警发布渠道</w:t>
      </w:r>
    </w:p>
    <w:p w14:paraId="48F1408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预警信息发布可充分利用广播、电视、互联网、手机短信、微信、微博、警报器等手段和媒介，及时、准确地将预警信息传播给可能受影响的相关地区和人员。</w:t>
      </w:r>
    </w:p>
    <w:p w14:paraId="1816520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3.1.3.4预警级别调整</w:t>
      </w:r>
    </w:p>
    <w:p w14:paraId="2C21750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预警信息发布后，可根据事态发展、采取措施的效果和专家预警建议，适时调整预警级别并再次发布。</w:t>
      </w:r>
    </w:p>
    <w:p w14:paraId="1C6C1C5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09" w:name="bookmark66"/>
      <w:bookmarkEnd w:id="109"/>
      <w:bookmarkStart w:id="110" w:name="_Toc14583"/>
      <w:bookmarkStart w:id="111" w:name="_Toc32336"/>
      <w:r>
        <w:rPr>
          <w:rFonts w:ascii="仿宋" w:hAnsi="仿宋" w:eastAsia="仿宋" w:cs="仿宋"/>
          <w:color w:val="auto"/>
          <w:spacing w:val="0"/>
          <w:w w:val="100"/>
          <w:position w:val="0"/>
          <w:sz w:val="28"/>
          <w:szCs w:val="28"/>
          <w:highlight w:val="none"/>
        </w:rPr>
        <w:t>3.1.4预警行动</w:t>
      </w:r>
      <w:bookmarkEnd w:id="110"/>
      <w:bookmarkEnd w:id="111"/>
    </w:p>
    <w:p w14:paraId="5490B2B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发布橙色预警时，仅采取预警行动。</w:t>
      </w:r>
    </w:p>
    <w:p w14:paraId="3E93F8C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发布红色预警时，在采取预警行动的同时，应启动应急措施。</w:t>
      </w:r>
    </w:p>
    <w:p w14:paraId="09449E0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12" w:name="_Toc6418"/>
      <w:bookmarkStart w:id="113" w:name="_Toc13432"/>
      <w:r>
        <w:rPr>
          <w:rFonts w:ascii="仿宋" w:hAnsi="仿宋" w:eastAsia="仿宋" w:cs="仿宋"/>
          <w:color w:val="auto"/>
          <w:spacing w:val="0"/>
          <w:w w:val="100"/>
          <w:position w:val="0"/>
          <w:sz w:val="28"/>
          <w:szCs w:val="28"/>
          <w:highlight w:val="none"/>
        </w:rPr>
        <w:t>3.1.5预警解除</w:t>
      </w:r>
      <w:bookmarkEnd w:id="112"/>
      <w:bookmarkEnd w:id="113"/>
    </w:p>
    <w:p w14:paraId="07B2ED6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当有事实证明不可能发生水源地突发环境事件或者判断危险已经解除的，由区指挥部宣布解除预警，终止已经采取的有关行动和措施。</w:t>
      </w:r>
    </w:p>
    <w:p w14:paraId="0CF82C6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114" w:name="_Toc24092"/>
      <w:bookmarkStart w:id="115" w:name="_Toc11316"/>
      <w:bookmarkStart w:id="116" w:name="_Toc5927"/>
      <w:bookmarkStart w:id="117" w:name="_Toc28897"/>
      <w:bookmarkStart w:id="118" w:name="_Toc14387"/>
      <w:bookmarkStart w:id="119" w:name="_Toc960"/>
      <w:bookmarkStart w:id="120" w:name="_Toc4444"/>
      <w:r>
        <w:rPr>
          <w:rFonts w:ascii="楷体" w:hAnsi="楷体" w:eastAsia="楷体" w:cs="楷体"/>
          <w:color w:val="auto"/>
          <w:spacing w:val="0"/>
          <w:w w:val="100"/>
          <w:position w:val="0"/>
          <w:sz w:val="28"/>
          <w:szCs w:val="28"/>
          <w:highlight w:val="none"/>
        </w:rPr>
        <w:t>3.2信息报告与通报</w:t>
      </w:r>
      <w:bookmarkEnd w:id="114"/>
      <w:bookmarkEnd w:id="115"/>
      <w:bookmarkEnd w:id="116"/>
      <w:bookmarkEnd w:id="117"/>
      <w:bookmarkEnd w:id="118"/>
      <w:bookmarkEnd w:id="119"/>
      <w:bookmarkEnd w:id="120"/>
    </w:p>
    <w:p w14:paraId="54909AC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区指办设立</w:t>
      </w:r>
      <w:r>
        <w:rPr>
          <w:rFonts w:ascii="Times New Roman" w:hAnsi="Times New Roman" w:eastAsia="Times New Roman" w:cs="Times New Roman"/>
          <w:color w:val="auto"/>
          <w:spacing w:val="0"/>
          <w:w w:val="100"/>
          <w:position w:val="0"/>
          <w:sz w:val="28"/>
          <w:szCs w:val="28"/>
          <w:highlight w:val="none"/>
        </w:rPr>
        <w:t>24</w:t>
      </w:r>
      <w:r>
        <w:rPr>
          <w:rFonts w:ascii="仿宋" w:hAnsi="仿宋" w:eastAsia="仿宋" w:cs="仿宋"/>
          <w:color w:val="auto"/>
          <w:spacing w:val="0"/>
          <w:w w:val="100"/>
          <w:position w:val="0"/>
          <w:sz w:val="28"/>
          <w:szCs w:val="28"/>
          <w:highlight w:val="none"/>
        </w:rPr>
        <w:t>小时应急值班室，值班电话为</w:t>
      </w:r>
      <w:r>
        <w:rPr>
          <w:rFonts w:ascii="Times New Roman" w:hAnsi="Times New Roman" w:eastAsia="Times New Roman" w:cs="Times New Roman"/>
          <w:color w:val="auto"/>
          <w:spacing w:val="0"/>
          <w:w w:val="100"/>
          <w:position w:val="0"/>
          <w:sz w:val="28"/>
          <w:szCs w:val="28"/>
          <w:highlight w:val="none"/>
        </w:rPr>
        <w:t>12345</w:t>
      </w:r>
      <w:r>
        <w:rPr>
          <w:rFonts w:ascii="仿宋" w:hAnsi="仿宋" w:eastAsia="仿宋" w:cs="仿宋"/>
          <w:color w:val="auto"/>
          <w:spacing w:val="0"/>
          <w:w w:val="100"/>
          <w:position w:val="0"/>
          <w:sz w:val="28"/>
          <w:szCs w:val="28"/>
          <w:highlight w:val="none"/>
        </w:rPr>
        <w:t>，随时接报突发环境事件信息，及时做好下情上报</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上情下达。</w:t>
      </w:r>
    </w:p>
    <w:p w14:paraId="0C493F4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21" w:name="bookmark67"/>
      <w:bookmarkEnd w:id="121"/>
      <w:bookmarkStart w:id="122" w:name="_Toc24575"/>
      <w:bookmarkStart w:id="123" w:name="_Toc2865"/>
      <w:r>
        <w:rPr>
          <w:rFonts w:ascii="仿宋" w:hAnsi="仿宋" w:eastAsia="仿宋" w:cs="仿宋"/>
          <w:color w:val="auto"/>
          <w:spacing w:val="0"/>
          <w:w w:val="100"/>
          <w:position w:val="0"/>
          <w:sz w:val="28"/>
          <w:szCs w:val="28"/>
          <w:highlight w:val="none"/>
        </w:rPr>
        <w:t>3.2.1信息报告程序</w:t>
      </w:r>
      <w:bookmarkEnd w:id="122"/>
      <w:bookmarkEnd w:id="123"/>
    </w:p>
    <w:p w14:paraId="5ED5655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1</w:t>
      </w:r>
      <w:r>
        <w:rPr>
          <w:rFonts w:ascii="仿宋" w:hAnsi="仿宋" w:eastAsia="仿宋" w:cs="仿宋"/>
          <w:color w:val="auto"/>
          <w:spacing w:val="0"/>
          <w:w w:val="100"/>
          <w:position w:val="0"/>
          <w:sz w:val="28"/>
          <w:szCs w:val="28"/>
          <w:highlight w:val="none"/>
        </w:rPr>
        <w:t>）发现已经造成或可能造成水源地污染的有关人员和责任单位，应按照有关规定立即向本级人民政府应急组织指挥机构及环境保护等部门报告。</w:t>
      </w:r>
    </w:p>
    <w:p w14:paraId="60CEEBB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2</w:t>
      </w:r>
      <w:r>
        <w:rPr>
          <w:rFonts w:ascii="仿宋" w:hAnsi="仿宋" w:eastAsia="仿宋" w:cs="仿宋"/>
          <w:color w:val="auto"/>
          <w:spacing w:val="0"/>
          <w:w w:val="100"/>
          <w:position w:val="0"/>
          <w:sz w:val="28"/>
          <w:szCs w:val="28"/>
          <w:highlight w:val="none"/>
        </w:rPr>
        <w:t>）在发现或得知水源地突发环境事件信息后，应立即进行核实，了解有关情况。经过核实后，第一时间向本级人民政府应急组织指挥机构和上级人民政府主管部门报告。</w:t>
      </w:r>
    </w:p>
    <w:p w14:paraId="7A7FF0B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3</w:t>
      </w:r>
      <w:r>
        <w:rPr>
          <w:rFonts w:ascii="仿宋" w:hAnsi="仿宋" w:eastAsia="仿宋" w:cs="仿宋"/>
          <w:color w:val="auto"/>
          <w:spacing w:val="0"/>
          <w:w w:val="100"/>
          <w:position w:val="0"/>
          <w:sz w:val="28"/>
          <w:szCs w:val="28"/>
          <w:highlight w:val="none"/>
        </w:rPr>
        <w:t>）上级人民政府主管部门先于下级人民政府主管部门获悉水源地突发环境事件信息</w:t>
      </w:r>
      <w:r>
        <w:rPr>
          <w:rFonts w:hint="eastAsia" w:ascii="仿宋" w:hAnsi="仿宋" w:eastAsia="仿宋" w:cs="仿宋"/>
          <w:color w:val="auto"/>
          <w:spacing w:val="0"/>
          <w:w w:val="100"/>
          <w:position w:val="0"/>
          <w:sz w:val="28"/>
          <w:szCs w:val="28"/>
          <w:highlight w:val="none"/>
          <w:lang w:eastAsia="zh-CN"/>
        </w:rPr>
        <w:t>时</w:t>
      </w:r>
      <w:r>
        <w:rPr>
          <w:rFonts w:ascii="仿宋" w:hAnsi="仿宋" w:eastAsia="仿宋" w:cs="仿宋"/>
          <w:color w:val="auto"/>
          <w:spacing w:val="0"/>
          <w:w w:val="100"/>
          <w:position w:val="0"/>
          <w:sz w:val="28"/>
          <w:szCs w:val="28"/>
          <w:highlight w:val="none"/>
        </w:rPr>
        <w:t>，可要求下级人民政府主管部门核实并报告相应信息。</w:t>
      </w:r>
    </w:p>
    <w:p w14:paraId="057D8DC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4</w:t>
      </w:r>
      <w:r>
        <w:rPr>
          <w:rFonts w:ascii="仿宋" w:hAnsi="仿宋" w:eastAsia="仿宋" w:cs="仿宋"/>
          <w:color w:val="auto"/>
          <w:spacing w:val="0"/>
          <w:w w:val="100"/>
          <w:position w:val="0"/>
          <w:sz w:val="28"/>
          <w:szCs w:val="28"/>
          <w:highlight w:val="none"/>
        </w:rPr>
        <w:t>）特殊情况下，若</w:t>
      </w:r>
      <w:r>
        <w:rPr>
          <w:rFonts w:hint="eastAsia" w:ascii="仿宋" w:hAnsi="仿宋" w:eastAsia="仿宋" w:cs="仿宋"/>
          <w:color w:val="auto"/>
          <w:spacing w:val="0"/>
          <w:w w:val="100"/>
          <w:position w:val="0"/>
          <w:sz w:val="28"/>
          <w:szCs w:val="28"/>
          <w:highlight w:val="none"/>
          <w:lang w:eastAsia="zh-CN"/>
        </w:rPr>
        <w:t>发生</w:t>
      </w:r>
      <w:r>
        <w:rPr>
          <w:rFonts w:ascii="仿宋" w:hAnsi="仿宋" w:eastAsia="仿宋" w:cs="仿宋"/>
          <w:color w:val="auto"/>
          <w:spacing w:val="0"/>
          <w:w w:val="100"/>
          <w:position w:val="0"/>
          <w:sz w:val="28"/>
          <w:szCs w:val="28"/>
          <w:highlight w:val="none"/>
        </w:rPr>
        <w:t>敏感事件或</w:t>
      </w:r>
      <w:r>
        <w:rPr>
          <w:rFonts w:hint="eastAsia" w:ascii="仿宋" w:hAnsi="仿宋" w:eastAsia="仿宋" w:cs="仿宋"/>
          <w:color w:val="auto"/>
          <w:spacing w:val="0"/>
          <w:w w:val="100"/>
          <w:position w:val="0"/>
          <w:sz w:val="28"/>
          <w:szCs w:val="28"/>
          <w:highlight w:val="none"/>
          <w:lang w:eastAsia="zh-CN"/>
        </w:rPr>
        <w:t>处于</w:t>
      </w:r>
      <w:r>
        <w:rPr>
          <w:rFonts w:ascii="仿宋" w:hAnsi="仿宋" w:eastAsia="仿宋" w:cs="仿宋"/>
          <w:color w:val="auto"/>
          <w:spacing w:val="0"/>
          <w:w w:val="100"/>
          <w:position w:val="0"/>
          <w:sz w:val="28"/>
          <w:szCs w:val="28"/>
          <w:highlight w:val="none"/>
        </w:rPr>
        <w:t>重点地区、特殊时期，或可能演化为重大、特别重大突发环境事件的信息，有关责任单位和部门应立即向本级人民政府应急组织指挥机构报告。</w:t>
      </w:r>
    </w:p>
    <w:p w14:paraId="7041C6B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24" w:name="bookmark68"/>
      <w:bookmarkEnd w:id="124"/>
      <w:bookmarkStart w:id="125" w:name="_Toc18367"/>
      <w:bookmarkStart w:id="126" w:name="_Toc29827"/>
      <w:r>
        <w:rPr>
          <w:rFonts w:ascii="仿宋" w:hAnsi="仿宋" w:eastAsia="仿宋" w:cs="仿宋"/>
          <w:color w:val="auto"/>
          <w:spacing w:val="0"/>
          <w:w w:val="100"/>
          <w:position w:val="0"/>
          <w:sz w:val="28"/>
          <w:szCs w:val="28"/>
          <w:highlight w:val="none"/>
        </w:rPr>
        <w:t>3.2.2信息通报程序</w:t>
      </w:r>
      <w:bookmarkEnd w:id="125"/>
      <w:bookmarkEnd w:id="126"/>
    </w:p>
    <w:p w14:paraId="5020F72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对经核实的水源地突发环境事件，接报的应急指挥部应向本级政府和应急管理、生态环境、水务、卫健、供水等部门及企业通报</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根据水源地突发环境事件的类型和情景，还应向交通运输局（危险化学品道路运输事故应急处置）、公安局（遇火灾爆炸、道路运输事故）等部门通报。生态环境局应通过互联网信息监测、环境污染举报热线等多种渠道，加强对突发环境事件信息的收集，及时掌握突发环境事件发生情况。</w:t>
      </w:r>
    </w:p>
    <w:p w14:paraId="6D6D222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27" w:name="bookmark69"/>
      <w:bookmarkEnd w:id="127"/>
      <w:bookmarkStart w:id="128" w:name="_Toc16704"/>
      <w:bookmarkStart w:id="129" w:name="_Toc229"/>
      <w:r>
        <w:rPr>
          <w:rFonts w:ascii="仿宋" w:hAnsi="仿宋" w:eastAsia="仿宋" w:cs="仿宋"/>
          <w:color w:val="auto"/>
          <w:spacing w:val="0"/>
          <w:w w:val="100"/>
          <w:position w:val="0"/>
          <w:sz w:val="28"/>
          <w:szCs w:val="28"/>
          <w:highlight w:val="none"/>
        </w:rPr>
        <w:t>3.2.3信息报告和通报内容</w:t>
      </w:r>
      <w:bookmarkEnd w:id="128"/>
      <w:bookmarkEnd w:id="129"/>
    </w:p>
    <w:p w14:paraId="7DE4E0C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按照不同的时间节点，水源地突发环境事件报告分为初报、续报和处理结果报告。初报是发现或得知突发环境事件后的首次报告；续报是查清有关基本情况、事件发展情况后的报告，可随时报告；处理结果报告是突发环境事件处理完毕后的报告。</w:t>
      </w:r>
    </w:p>
    <w:p w14:paraId="66F71FD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突发环境事件信息应书面报告，情况紧急时，初报可通过传真、手机短信、电话方式报送，通过手机短信或电话等形式报送的，应当及时补充书面报告。书面报告应说明突发环境事件报告单位、报告签发人、联系人及联系电话等内容，并尽可能提供地图、图片以及有关的多媒体资料。</w:t>
      </w:r>
    </w:p>
    <w:p w14:paraId="07A1C2F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130" w:name="_Toc7085"/>
      <w:bookmarkStart w:id="131" w:name="_Toc15387"/>
      <w:bookmarkStart w:id="132" w:name="_Toc31033"/>
      <w:bookmarkStart w:id="133" w:name="_Toc24426"/>
      <w:bookmarkStart w:id="134" w:name="_Toc32389"/>
      <w:bookmarkStart w:id="135" w:name="_Toc150"/>
      <w:bookmarkStart w:id="136" w:name="_Toc29860"/>
      <w:r>
        <w:rPr>
          <w:rFonts w:ascii="楷体" w:hAnsi="楷体" w:eastAsia="楷体" w:cs="楷体"/>
          <w:color w:val="auto"/>
          <w:spacing w:val="0"/>
          <w:w w:val="100"/>
          <w:position w:val="0"/>
          <w:sz w:val="28"/>
          <w:szCs w:val="28"/>
          <w:highlight w:val="none"/>
        </w:rPr>
        <w:t>3.3事态研判</w:t>
      </w:r>
      <w:bookmarkEnd w:id="130"/>
      <w:bookmarkEnd w:id="131"/>
      <w:bookmarkEnd w:id="132"/>
      <w:bookmarkEnd w:id="133"/>
      <w:bookmarkEnd w:id="134"/>
      <w:bookmarkEnd w:id="135"/>
      <w:bookmarkEnd w:id="136"/>
    </w:p>
    <w:p w14:paraId="0A7DF84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发布预警后，现场指挥部迅速组建参加应急指挥的</w:t>
      </w:r>
      <w:r>
        <w:rPr>
          <w:rFonts w:hint="eastAsia" w:ascii="仿宋" w:hAnsi="仿宋" w:eastAsia="仿宋" w:cs="仿宋"/>
          <w:color w:val="auto"/>
          <w:spacing w:val="0"/>
          <w:w w:val="100"/>
          <w:position w:val="0"/>
          <w:sz w:val="28"/>
          <w:szCs w:val="28"/>
          <w:highlight w:val="none"/>
          <w:lang w:eastAsia="zh-CN"/>
        </w:rPr>
        <w:t>各</w:t>
      </w:r>
      <w:r>
        <w:rPr>
          <w:rFonts w:ascii="仿宋" w:hAnsi="仿宋" w:eastAsia="仿宋" w:cs="仿宋"/>
          <w:color w:val="auto"/>
          <w:spacing w:val="0"/>
          <w:w w:val="100"/>
          <w:position w:val="0"/>
          <w:sz w:val="28"/>
          <w:szCs w:val="28"/>
          <w:highlight w:val="none"/>
        </w:rPr>
        <w:t>工作组，跟踪开展事态研判。</w:t>
      </w:r>
    </w:p>
    <w:p w14:paraId="0E029C8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事态研判主要包括如下内容：</w:t>
      </w:r>
    </w:p>
    <w:p w14:paraId="2350CA5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（1）事故点下游沿河水利设施工程情况；</w:t>
      </w:r>
    </w:p>
    <w:p w14:paraId="55B76CD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（2）判断污染物进入河流的数量及种类性质（如固定源、流动源、非点源或水华灾害引发的事故、自然灾害）；</w:t>
      </w:r>
    </w:p>
    <w:p w14:paraId="1B3C86F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（3）事故点下游水系分布情况（包括清洁水情况）；</w:t>
      </w:r>
    </w:p>
    <w:p w14:paraId="7DA045F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（4）事故点距离水源地取水口的距离和可能对水源地造成的危害；</w:t>
      </w:r>
    </w:p>
    <w:p w14:paraId="5593443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5）对发生地点时间，污染物数量和面积、应急监测数据等事件信息进行分析研判，制定不同事件类型（如固定源、流动源、非点源或水华灾害引发的事故、自然灾害）状况下的现场应急处置方案；根据事件进展情况和形势动态，提出相应的对策和意见；对突发环境事件的危害范围、发展趋势做出科学预测。</w:t>
      </w:r>
    </w:p>
    <w:p w14:paraId="7D374CE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事态研判的结果，应作为制定和动态调整应急响应有关方案、实施应急监测、污染源排查与处置和应急处置的重要基础。</w:t>
      </w:r>
    </w:p>
    <w:p w14:paraId="0966024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137" w:name="bookmark70"/>
      <w:bookmarkEnd w:id="137"/>
      <w:bookmarkStart w:id="138" w:name="_Toc31300"/>
      <w:bookmarkStart w:id="139" w:name="_Toc28845"/>
      <w:bookmarkStart w:id="140" w:name="_Toc20070"/>
      <w:bookmarkStart w:id="141" w:name="_Toc761"/>
      <w:bookmarkStart w:id="142" w:name="_Toc12212"/>
      <w:bookmarkStart w:id="143" w:name="_Toc10915"/>
      <w:bookmarkStart w:id="144" w:name="_Toc32293"/>
      <w:r>
        <w:rPr>
          <w:rFonts w:ascii="楷体" w:hAnsi="楷体" w:eastAsia="楷体" w:cs="楷体"/>
          <w:color w:val="auto"/>
          <w:spacing w:val="0"/>
          <w:w w:val="100"/>
          <w:position w:val="0"/>
          <w:sz w:val="28"/>
          <w:szCs w:val="28"/>
          <w:highlight w:val="none"/>
        </w:rPr>
        <w:t>3.4应急监测</w:t>
      </w:r>
      <w:bookmarkEnd w:id="138"/>
      <w:bookmarkEnd w:id="139"/>
      <w:bookmarkEnd w:id="140"/>
      <w:bookmarkEnd w:id="141"/>
      <w:bookmarkEnd w:id="142"/>
      <w:bookmarkEnd w:id="143"/>
      <w:bookmarkEnd w:id="144"/>
    </w:p>
    <w:p w14:paraId="546AFD0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区生态环境局负责组织实施水源地应急监测工作。水源地突发环境事件发生时，根据</w:t>
      </w:r>
      <w:r>
        <w:rPr>
          <w:rFonts w:hint="eastAsia" w:ascii="仿宋" w:hAnsi="仿宋" w:eastAsia="仿宋" w:cs="仿宋"/>
          <w:color w:val="auto"/>
          <w:spacing w:val="0"/>
          <w:w w:val="100"/>
          <w:position w:val="0"/>
          <w:sz w:val="28"/>
          <w:szCs w:val="28"/>
          <w:highlight w:val="none"/>
          <w:lang w:eastAsia="zh-CN"/>
        </w:rPr>
        <w:t>事件</w:t>
      </w:r>
      <w:r>
        <w:rPr>
          <w:rFonts w:ascii="仿宋" w:hAnsi="仿宋" w:eastAsia="仿宋" w:cs="仿宋"/>
          <w:color w:val="auto"/>
          <w:spacing w:val="0"/>
          <w:w w:val="100"/>
          <w:position w:val="0"/>
          <w:sz w:val="28"/>
          <w:szCs w:val="28"/>
          <w:highlight w:val="none"/>
        </w:rPr>
        <w:t>的严重性、紧急程度和可能波及的范围分级启动应急监测工作，查明污染物种类、污染程度、范围以及污染发展趋势，提出处理建议，为应急处置提供决策依据。</w:t>
      </w:r>
    </w:p>
    <w:p w14:paraId="7A94D3D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自来水公司负责组织供水水质的应急监测工作</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判定水源地污染事件发生后对其供水质量的危害程度以及受</w:t>
      </w:r>
      <w:r>
        <w:rPr>
          <w:rFonts w:hint="eastAsia" w:ascii="仿宋" w:hAnsi="仿宋" w:eastAsia="仿宋" w:cs="仿宋"/>
          <w:color w:val="auto"/>
          <w:spacing w:val="0"/>
          <w:w w:val="100"/>
          <w:position w:val="0"/>
          <w:sz w:val="28"/>
          <w:szCs w:val="28"/>
          <w:highlight w:val="none"/>
          <w:lang w:eastAsia="zh-CN"/>
        </w:rPr>
        <w:t>影响</w:t>
      </w:r>
      <w:r>
        <w:rPr>
          <w:rFonts w:ascii="仿宋" w:hAnsi="仿宋" w:eastAsia="仿宋" w:cs="仿宋"/>
          <w:color w:val="auto"/>
          <w:spacing w:val="0"/>
          <w:w w:val="100"/>
          <w:position w:val="0"/>
          <w:sz w:val="28"/>
          <w:szCs w:val="28"/>
          <w:highlight w:val="none"/>
        </w:rPr>
        <w:t>范围，向现场指挥部报告现场情况，提出处置建议。</w:t>
      </w:r>
    </w:p>
    <w:p w14:paraId="5C8D53E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45" w:name="bookmark71"/>
      <w:bookmarkEnd w:id="145"/>
      <w:bookmarkStart w:id="146" w:name="_Toc3289"/>
      <w:bookmarkStart w:id="147" w:name="_Toc288"/>
      <w:r>
        <w:rPr>
          <w:rFonts w:ascii="仿宋" w:hAnsi="仿宋" w:eastAsia="仿宋" w:cs="仿宋"/>
          <w:color w:val="auto"/>
          <w:spacing w:val="0"/>
          <w:w w:val="100"/>
          <w:position w:val="0"/>
          <w:sz w:val="28"/>
          <w:szCs w:val="28"/>
          <w:highlight w:val="none"/>
        </w:rPr>
        <w:t>3.4.1开展应急监测程序</w:t>
      </w:r>
      <w:bookmarkEnd w:id="146"/>
      <w:bookmarkEnd w:id="147"/>
    </w:p>
    <w:p w14:paraId="6170414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事件处置初期，实施应急监测的部门应按照现场指挥部命令，根据现场实际情况制定监测方案、设置监测点位（断面）、确定监测频次、组织开展监测、形成监测报告，第一时间向现场指挥部报告监测结果。</w:t>
      </w:r>
    </w:p>
    <w:p w14:paraId="263421F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事件处置中期，应根据事态发展，如上游来水量、应急处置措施效果等情况，适时调整监测点位（断面）和监测频次。</w:t>
      </w:r>
    </w:p>
    <w:p w14:paraId="47DE8E5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事件处置末期，应按照现场指挥部命令，停止应急监测，并向现场指挥部提交应急监测总结报告。</w:t>
      </w:r>
    </w:p>
    <w:p w14:paraId="21A8909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48" w:name="bookmark72"/>
      <w:bookmarkEnd w:id="148"/>
      <w:bookmarkStart w:id="149" w:name="_Toc8768"/>
      <w:bookmarkStart w:id="150" w:name="_Toc20399"/>
      <w:r>
        <w:rPr>
          <w:rFonts w:ascii="仿宋" w:hAnsi="仿宋" w:eastAsia="仿宋" w:cs="仿宋"/>
          <w:color w:val="auto"/>
          <w:spacing w:val="0"/>
          <w:w w:val="100"/>
          <w:position w:val="0"/>
          <w:sz w:val="28"/>
          <w:szCs w:val="28"/>
          <w:highlight w:val="none"/>
        </w:rPr>
        <w:t>3.</w:t>
      </w:r>
      <w:r>
        <w:rPr>
          <w:rFonts w:hint="eastAsia" w:ascii="仿宋" w:hAnsi="仿宋" w:eastAsia="仿宋" w:cs="仿宋"/>
          <w:color w:val="auto"/>
          <w:spacing w:val="0"/>
          <w:w w:val="100"/>
          <w:position w:val="0"/>
          <w:sz w:val="28"/>
          <w:szCs w:val="28"/>
          <w:highlight w:val="none"/>
        </w:rPr>
        <w:t>4.2制定应急监测方案</w:t>
      </w:r>
      <w:bookmarkEnd w:id="149"/>
      <w:bookmarkEnd w:id="150"/>
    </w:p>
    <w:p w14:paraId="3400CA8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由区生态环境局负责组织制定应急监测方案。</w:t>
      </w:r>
    </w:p>
    <w:p w14:paraId="5ECBE94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应急监测方案应包括依据的技术规范、实施人员、布点原则、 采样频次和注意事项、监测结果记录和报告方式等。</w:t>
      </w:r>
    </w:p>
    <w:p w14:paraId="0111F41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应急监测重点是抓住污染带前锋、峰值位置和浓度变化，对污染带移动过程形成动态监控。当污染来源不明时，应先通过应急监测确定特征污染物成份，再进行污染源排查和先期处置。</w:t>
      </w:r>
    </w:p>
    <w:p w14:paraId="7304F57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应急监测原则和注意事项包括但不限于以下内容。</w:t>
      </w:r>
    </w:p>
    <w:p w14:paraId="4304085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（1）监测范围。应尽量涵盖水源地突发环境事件的污染范围， 并包括事件可能影响区域和污染物本底浓度的监测区域。</w:t>
      </w:r>
    </w:p>
    <w:p w14:paraId="1A696D8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2）监测布点和频次。以突发环境事件发生地点为中心或源头，结合水文和气象条件，在其扩散方向及可能受到影响的水源地位置合理布点，必要时在事故影响区域内水源取水口、农灌区取水口处设置监测点位（断面）。应采取不同点位（断面）相同间隔时间（一般为1小时）同步采样监测方式，动态监控污染带移动过程。</w:t>
      </w:r>
    </w:p>
    <w:p w14:paraId="0D28923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①针对固定源突发环境事件，应对固定源排放口附近水域、下 游水源地附近水域进行加密跟踪监测。</w:t>
      </w:r>
    </w:p>
    <w:p w14:paraId="3B80F8E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②针对流动源、非点源突发环境事件，应对事发区域下游水域、下游水源地附近进行加密跟踪监测。</w:t>
      </w:r>
    </w:p>
    <w:p w14:paraId="32E7B5D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③水华灾害突发事件若发生在一级、二级保护区范围，应对取水口不同水层进行加密跟踪监测。</w:t>
      </w:r>
    </w:p>
    <w:p w14:paraId="4EE5323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（3）现场采样。应制定采样计划和准备采样器材。采样量应同时满足快速监测、实验室监测和留样的需要。采样频次应考虑污染程度和现场水文条件，按照应急专家组的意见确定。</w:t>
      </w:r>
    </w:p>
    <w:p w14:paraId="42D136B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4）监测项目。通过现场信息收集、信息研判、代表性样品分析等途径，确定主要污染物及监测项目。监测项目应考虑主要污染物在环境中可能产生的化学反应、衍生成其他有毒有害物质，有条件的地区可同时开展水生生物指标的监测，为后期损害评估提供第一手资料。</w:t>
      </w:r>
    </w:p>
    <w:p w14:paraId="5BEC7F4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（5）分析方法。具备现场监测条件的监测项目，应尽量在现场监测。必要时，备份样品送实验室监（复）测，以确认现场定性或定量监测结果的准确性。</w:t>
      </w:r>
    </w:p>
    <w:p w14:paraId="4BB3D3B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（6）监测结果与数据报告。应按照有关监测技术规范进行数据处理。监测结果可用定性、半定量或定量方式报出。监测结果可采用电话、传真、快报、简报、监测报告等形式第一时间报告现场应急指挥部。</w:t>
      </w:r>
    </w:p>
    <w:p w14:paraId="58015FF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（7）监测数据的质量保证。应急监测过程中的样品采集、现场监测、实验室监测、数据统计等环节，都应有质量控制措施，并对应急监测报告实行三级审核。</w:t>
      </w:r>
    </w:p>
    <w:p w14:paraId="3B28D67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hint="eastAsia" w:ascii="仿宋" w:hAnsi="仿宋" w:eastAsia="仿宋" w:cs="仿宋"/>
          <w:color w:val="auto"/>
          <w:spacing w:val="0"/>
          <w:w w:val="100"/>
          <w:position w:val="0"/>
          <w:sz w:val="28"/>
          <w:szCs w:val="28"/>
          <w:highlight w:val="none"/>
        </w:rPr>
      </w:pPr>
      <w:bookmarkStart w:id="151" w:name="_Toc15286"/>
      <w:bookmarkStart w:id="152" w:name="_Toc31644"/>
      <w:bookmarkStart w:id="153" w:name="_Toc12088"/>
      <w:bookmarkStart w:id="154" w:name="_Toc12807"/>
      <w:bookmarkStart w:id="155" w:name="_Toc28629"/>
      <w:bookmarkStart w:id="156" w:name="_Toc17973"/>
      <w:bookmarkStart w:id="157" w:name="_Toc24258"/>
      <w:r>
        <w:rPr>
          <w:rFonts w:hint="eastAsia" w:ascii="仿宋" w:hAnsi="仿宋" w:eastAsia="仿宋" w:cs="仿宋"/>
          <w:color w:val="auto"/>
          <w:spacing w:val="0"/>
          <w:w w:val="100"/>
          <w:position w:val="0"/>
          <w:sz w:val="28"/>
          <w:szCs w:val="28"/>
          <w:highlight w:val="none"/>
        </w:rPr>
        <w:t>3.5污染源排查与处置</w:t>
      </w:r>
      <w:bookmarkEnd w:id="151"/>
      <w:bookmarkEnd w:id="152"/>
      <w:bookmarkEnd w:id="153"/>
      <w:bookmarkEnd w:id="154"/>
      <w:bookmarkEnd w:id="155"/>
      <w:bookmarkEnd w:id="156"/>
      <w:bookmarkEnd w:id="157"/>
    </w:p>
    <w:p w14:paraId="7F0E5DA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58" w:name="bookmark73"/>
      <w:bookmarkEnd w:id="158"/>
      <w:bookmarkStart w:id="159" w:name="_Toc11377"/>
      <w:bookmarkStart w:id="160" w:name="_Toc18426"/>
      <w:r>
        <w:rPr>
          <w:rFonts w:ascii="仿宋" w:hAnsi="仿宋" w:eastAsia="仿宋" w:cs="仿宋"/>
          <w:color w:val="auto"/>
          <w:spacing w:val="0"/>
          <w:w w:val="100"/>
          <w:position w:val="0"/>
          <w:sz w:val="28"/>
          <w:szCs w:val="28"/>
          <w:highlight w:val="none"/>
        </w:rPr>
        <w:t>3.5.1明确排查对象</w:t>
      </w:r>
      <w:bookmarkEnd w:id="159"/>
      <w:bookmarkEnd w:id="160"/>
    </w:p>
    <w:p w14:paraId="07AAC68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当水质监测发现异常、污染物来源不确定时，应明确负责开展溯源分析的部门、责任人及工作程序。根据特征污染物种类、浓度变化、释放总量、释放路径、释放时间，以及当时的水文和气象条件，迅速组织开展污染源排查。</w:t>
      </w:r>
    </w:p>
    <w:p w14:paraId="23CB386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61" w:name="bookmark74"/>
      <w:bookmarkEnd w:id="161"/>
      <w:bookmarkStart w:id="162" w:name="_Toc28063"/>
      <w:bookmarkStart w:id="163" w:name="_Toc13025"/>
      <w:r>
        <w:rPr>
          <w:rFonts w:hint="eastAsia" w:ascii="仿宋" w:hAnsi="仿宋" w:eastAsia="仿宋" w:cs="仿宋"/>
          <w:color w:val="auto"/>
          <w:spacing w:val="0"/>
          <w:w w:val="100"/>
          <w:position w:val="0"/>
          <w:sz w:val="28"/>
          <w:szCs w:val="28"/>
          <w:highlight w:val="none"/>
        </w:rPr>
        <w:t>3.5.2切断污染源</w:t>
      </w:r>
      <w:bookmarkEnd w:id="162"/>
      <w:bookmarkEnd w:id="163"/>
    </w:p>
    <w:p w14:paraId="0C204E0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应急处置组负责对水源地应急预案适用地域范围内的污染源实施切断；对水源地应急预案适用地域范围外的污染源，按有关突发环境事件应急预案要求进行处置。</w:t>
      </w:r>
    </w:p>
    <w:p w14:paraId="64DA4A2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hint="eastAsia" w:ascii="仿宋" w:hAnsi="仿宋" w:eastAsia="仿宋" w:cs="仿宋"/>
          <w:color w:val="auto"/>
          <w:spacing w:val="0"/>
          <w:w w:val="100"/>
          <w:position w:val="0"/>
          <w:sz w:val="28"/>
          <w:szCs w:val="28"/>
          <w:highlight w:val="none"/>
        </w:rPr>
      </w:pPr>
      <w:bookmarkStart w:id="164" w:name="_Toc29966"/>
      <w:bookmarkStart w:id="165" w:name="_Toc6014"/>
      <w:bookmarkStart w:id="166" w:name="_Toc26923"/>
      <w:bookmarkStart w:id="167" w:name="_Toc32440"/>
      <w:bookmarkStart w:id="168" w:name="_Toc9649"/>
      <w:bookmarkStart w:id="169" w:name="_Toc10339"/>
      <w:bookmarkStart w:id="170" w:name="_Toc10974"/>
      <w:r>
        <w:rPr>
          <w:rFonts w:hint="eastAsia" w:ascii="仿宋" w:hAnsi="仿宋" w:eastAsia="仿宋" w:cs="仿宋"/>
          <w:color w:val="auto"/>
          <w:spacing w:val="0"/>
          <w:w w:val="100"/>
          <w:position w:val="0"/>
          <w:sz w:val="28"/>
          <w:szCs w:val="28"/>
          <w:highlight w:val="none"/>
        </w:rPr>
        <w:t>3.6应急处置</w:t>
      </w:r>
      <w:bookmarkEnd w:id="164"/>
      <w:bookmarkEnd w:id="165"/>
      <w:bookmarkEnd w:id="166"/>
      <w:bookmarkEnd w:id="167"/>
      <w:bookmarkEnd w:id="168"/>
      <w:bookmarkEnd w:id="169"/>
      <w:bookmarkEnd w:id="170"/>
    </w:p>
    <w:p w14:paraId="531DDCE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71" w:name="bookmark75"/>
      <w:bookmarkEnd w:id="171"/>
      <w:bookmarkStart w:id="172" w:name="_Toc17746"/>
      <w:bookmarkStart w:id="173" w:name="_Toc15690"/>
      <w:r>
        <w:rPr>
          <w:rFonts w:hint="eastAsia" w:ascii="仿宋" w:hAnsi="仿宋" w:eastAsia="仿宋" w:cs="仿宋"/>
          <w:color w:val="auto"/>
          <w:spacing w:val="0"/>
          <w:w w:val="100"/>
          <w:position w:val="0"/>
          <w:sz w:val="28"/>
          <w:szCs w:val="28"/>
          <w:highlight w:val="none"/>
        </w:rPr>
        <w:t>3.6.1制定现场处置方案</w:t>
      </w:r>
      <w:bookmarkEnd w:id="172"/>
      <w:bookmarkEnd w:id="173"/>
    </w:p>
    <w:p w14:paraId="60056C2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bookmarkStart w:id="174" w:name="_Toc7920"/>
      <w:bookmarkStart w:id="175" w:name="_Toc27007"/>
      <w:r>
        <w:rPr>
          <w:rFonts w:hint="eastAsia" w:ascii="仿宋" w:hAnsi="仿宋" w:eastAsia="仿宋" w:cs="仿宋"/>
          <w:color w:val="auto"/>
          <w:spacing w:val="0"/>
          <w:w w:val="100"/>
          <w:position w:val="0"/>
          <w:sz w:val="28"/>
          <w:szCs w:val="28"/>
          <w:highlight w:val="none"/>
        </w:rPr>
        <w:t>现场处置方案由现场指挥部制订，现场处置要立足于彻底消除污染危害，避免遗留后患，依靠科技和专家力量，尽可能控制和缩小已排出污染物的扩散、漫延范围，把水源地突发环境事件危害降低到最小程度。</w:t>
      </w:r>
    </w:p>
    <w:p w14:paraId="32BCCE2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应明确不同事件情景下现场处置方案的制定程序、基本内容、责任单位和时限等具体要求。</w:t>
      </w:r>
    </w:p>
    <w:p w14:paraId="779229E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现场处置方案包括但不限于以下内容：应急监测、污染处置措施、物资调集、应急队伍和人员安排、供水单位应对等。</w:t>
      </w:r>
    </w:p>
    <w:p w14:paraId="303AB0A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根据污染特征，水源地突发环境事件的污染处置措施如下。</w:t>
      </w:r>
    </w:p>
    <w:p w14:paraId="55D1D67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（1）水华灾害突发事件。对一级、二级水源保护区的水华发生区域，采取增氧机、藻类打捞等方式减少和控制藻类生长和扩散；有条件的，可采用生态调水的方式，通过增加水体扰动控制水华灾害。</w:t>
      </w:r>
    </w:p>
    <w:p w14:paraId="64247E7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2）水体内污染物治理、总量或浓度削减。根据应急专家组等意见，制定综合处置方案，经现场应急指挥部确认后实施。一般采取隔离、吸附、打捞、扰动等物理方法，氧化、沉淀等化学方法，利用湿地生物群消解等生物方法和上游调水等稀释方法，可以采取一种或多种方式，力争短时间内削减污染物浓度。现场应急指挥部可根据需要，对水源地汇水区域内的污染物排放企业实施停产、减产、限产等措施，削减水域污染物总量或浓度。</w:t>
      </w:r>
    </w:p>
    <w:p w14:paraId="6FF193C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3）应急工程设施拦截污染水体。在河道内启用或修建拦截坝、节制闸等工程设施拦截污染水体；通过导流渠将未受污染水体导流至污染水体下游，通过分流沟将污染水体分流至水源保护区外进行收集处置；利用前置库、缓冲池等工程设施，降低污染水体的污染物浓度，为应急处置争取时间。不能建设永久应急工程的，应事先论证确定可建设应急工程的地址，并在预案中明确。</w:t>
      </w:r>
    </w:p>
    <w:p w14:paraId="05AFAF3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①浊度超标项目的推荐技术：快速砂滤池、絮凝、沉淀、过滤；</w:t>
      </w:r>
    </w:p>
    <w:p w14:paraId="76BB3D7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②色度超标项目的推荐技术：快速砂滤池、絮凝，活性炭吸附，化学氧化预处理，臭氧、氯、高锰酸钾、二氧化氯；</w:t>
      </w:r>
    </w:p>
    <w:p w14:paraId="0E95955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③嗅味超标项目的推荐技术:化学氧化预处理，臭氧、氯、高锰酸钾、二氧化氯、活性炭;  </w:t>
      </w:r>
    </w:p>
    <w:p w14:paraId="5580136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④氟化物超标项目的推荐技术:吸附法，氧化铝、磷酸二钙；混凝沉淀法：硫酸铝、聚合氯化铝；离子交换法；电渗析法;</w:t>
      </w:r>
    </w:p>
    <w:p w14:paraId="4041CD4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⑤氨氮超标项目的推荐技术:化学氧化预处理，氯、高锰酸钾；深度处理：臭氧-生物活性碳;  </w:t>
      </w:r>
    </w:p>
    <w:p w14:paraId="51D4E10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⑥铁、锰超标项目的推荐技术:锰砂；化学氧化预处理，氯、高锰酸钾；深度处理：臭氧-生物活性碳;  </w:t>
      </w:r>
    </w:p>
    <w:p w14:paraId="32F73E0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⑦挥发性有机物超标项目的推荐技术:生物活性炭吸附;  </w:t>
      </w:r>
    </w:p>
    <w:p w14:paraId="14119FF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⑧三氯甲烷和腐殖酸超标项目的推荐技术:前驱物的去除，强化混凝、粒状活性炭、生物活性炭；氯化副产物的去除，粒状活性炭;</w:t>
      </w:r>
    </w:p>
    <w:p w14:paraId="64BE487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⑨有机化合物超标项目的推荐技术:物活性碳、膜处理;  </w:t>
      </w:r>
    </w:p>
    <w:p w14:paraId="21CD36D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⑩细菌和病毒超标项目的推荐技术:过滤(部分去除)；消毒处理，氯、二氧化氯、臭氧、膜处理、紫外消毒;</w:t>
      </w:r>
    </w:p>
    <w:p w14:paraId="3971038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⑪汞、铬等部分重金属 (应急状态) 超标项目的推荐技术:氧化法、高锰酸钾；生物活性碳吸附(部分去除)；  </w:t>
      </w:r>
    </w:p>
    <w:p w14:paraId="33D2D03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9"/>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⑫藻类及藻毒素超标项目的推荐技术：化学氧化预处理、除藻剂法、高锰酸钾、氯；微滤法；气浮法；臭氧氧化法。</w:t>
      </w:r>
    </w:p>
    <w:p w14:paraId="5949128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3.6.2供水保障</w:t>
      </w:r>
      <w:bookmarkEnd w:id="174"/>
      <w:bookmarkEnd w:id="175"/>
    </w:p>
    <w:p w14:paraId="3061FB0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饮用水源管理单位负责建立与自来水公司的联系</w:t>
      </w:r>
      <w:r>
        <w:rPr>
          <w:rFonts w:hint="eastAsia" w:ascii="仿宋" w:hAnsi="仿宋" w:eastAsia="仿宋" w:cs="仿宋"/>
          <w:color w:val="auto"/>
          <w:spacing w:val="0"/>
          <w:w w:val="100"/>
          <w:position w:val="0"/>
          <w:sz w:val="28"/>
          <w:szCs w:val="28"/>
          <w:highlight w:val="none"/>
          <w:lang w:eastAsia="zh-CN"/>
        </w:rPr>
        <w:t>渠道</w:t>
      </w:r>
      <w:r>
        <w:rPr>
          <w:rFonts w:hint="eastAsia" w:ascii="仿宋" w:hAnsi="仿宋" w:eastAsia="仿宋" w:cs="仿宋"/>
          <w:color w:val="auto"/>
          <w:spacing w:val="0"/>
          <w:w w:val="100"/>
          <w:position w:val="0"/>
          <w:sz w:val="28"/>
          <w:szCs w:val="28"/>
          <w:highlight w:val="none"/>
        </w:rPr>
        <w:t>，明确与自来水公司通报联络的工作人员姓名和联系电话</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rPr>
        <w:t>自来水公司通报应急监测信息，并在启动预警时第一时间通知供水单位。</w:t>
      </w:r>
    </w:p>
    <w:p w14:paraId="1D15169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76" w:name="_Toc18057"/>
      <w:bookmarkStart w:id="177" w:name="_Toc13478"/>
      <w:r>
        <w:rPr>
          <w:rFonts w:hint="eastAsia" w:ascii="仿宋" w:hAnsi="仿宋" w:eastAsia="仿宋" w:cs="仿宋"/>
          <w:color w:val="auto"/>
          <w:spacing w:val="0"/>
          <w:w w:val="100"/>
          <w:position w:val="0"/>
          <w:sz w:val="28"/>
          <w:szCs w:val="28"/>
          <w:highlight w:val="none"/>
        </w:rPr>
        <w:t>自来水公司和其主管部门应根据污染物的种类、浓度、可能影响取水口的时间，及时采取深度处理、低压供水或启动备用水源等应急措施，并加强污染物监测，待水质满足取水要求时恢复取水和供水。无备用水源的，应使用应急供水车等设施保障居民用水。</w:t>
      </w:r>
      <w:bookmarkEnd w:id="176"/>
      <w:bookmarkEnd w:id="177"/>
    </w:p>
    <w:p w14:paraId="7D5E2C5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78" w:name="bookmark76"/>
      <w:bookmarkEnd w:id="178"/>
      <w:bookmarkStart w:id="179" w:name="_Toc22673"/>
      <w:bookmarkStart w:id="180" w:name="_Toc13646"/>
      <w:r>
        <w:rPr>
          <w:rFonts w:hint="eastAsia" w:ascii="仿宋" w:hAnsi="仿宋" w:eastAsia="仿宋" w:cs="仿宋"/>
          <w:color w:val="auto"/>
          <w:spacing w:val="0"/>
          <w:w w:val="100"/>
          <w:position w:val="0"/>
          <w:sz w:val="28"/>
          <w:szCs w:val="28"/>
          <w:highlight w:val="none"/>
        </w:rPr>
        <w:t>3.7物资调集与应急设施启用</w:t>
      </w:r>
      <w:bookmarkEnd w:id="179"/>
      <w:bookmarkEnd w:id="180"/>
    </w:p>
    <w:p w14:paraId="0A0748C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181" w:name="_Toc22697"/>
      <w:bookmarkStart w:id="182" w:name="_Toc21868"/>
      <w:r>
        <w:rPr>
          <w:rFonts w:hint="eastAsia" w:ascii="仿宋" w:hAnsi="仿宋" w:eastAsia="仿宋" w:cs="仿宋"/>
          <w:color w:val="auto"/>
          <w:spacing w:val="0"/>
          <w:w w:val="100"/>
          <w:position w:val="0"/>
          <w:sz w:val="28"/>
          <w:szCs w:val="28"/>
          <w:highlight w:val="none"/>
        </w:rPr>
        <w:t>区政府及相关职能部门应根据</w:t>
      </w:r>
      <w:r>
        <w:rPr>
          <w:rFonts w:ascii="仿宋" w:hAnsi="仿宋" w:eastAsia="仿宋" w:cs="仿宋"/>
          <w:color w:val="auto"/>
          <w:spacing w:val="0"/>
          <w:w w:val="100"/>
          <w:position w:val="0"/>
          <w:sz w:val="28"/>
          <w:szCs w:val="28"/>
          <w:highlight w:val="none"/>
        </w:rPr>
        <w:t>不同类别的水源地突发环境事件加强本辖区内应急救援物资的生产、储存、调拨体系建设。</w:t>
      </w:r>
      <w:bookmarkEnd w:id="181"/>
      <w:bookmarkEnd w:id="182"/>
    </w:p>
    <w:p w14:paraId="3BCF4F9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83" w:name="_Toc23441"/>
      <w:bookmarkStart w:id="184" w:name="_Toc7606"/>
      <w:r>
        <w:rPr>
          <w:rFonts w:hint="eastAsia" w:ascii="仿宋" w:hAnsi="仿宋" w:eastAsia="仿宋" w:cs="仿宋"/>
          <w:color w:val="auto"/>
          <w:spacing w:val="0"/>
          <w:w w:val="100"/>
          <w:position w:val="0"/>
          <w:sz w:val="28"/>
          <w:szCs w:val="28"/>
          <w:highlight w:val="none"/>
        </w:rPr>
        <w:t>现场指挥部根据处置方案调集应急物资、应急装备并启用相应的应急设施。</w:t>
      </w:r>
      <w:bookmarkEnd w:id="183"/>
      <w:bookmarkEnd w:id="184"/>
    </w:p>
    <w:p w14:paraId="249E1E2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应急物资、装备和设施包括但不仅限于以下内容：</w:t>
      </w:r>
    </w:p>
    <w:p w14:paraId="633BB77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（1）对水体内污染物进行打捞和拦截的物资、装备和设施，如救援打捞设备、油毡、围油栏、筑坝材料、溢出控制装备等。</w:t>
      </w:r>
    </w:p>
    <w:p w14:paraId="112106E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（2）控制和消除污染物的物资、装备和设施，如中和剂、灭火剂、解毒剂、吸收剂等。</w:t>
      </w:r>
    </w:p>
    <w:p w14:paraId="37BE4BC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（3）移除和拦截移动源的装备和设施，如吊车、临时围堰、导流槽、应急池等。</w:t>
      </w:r>
    </w:p>
    <w:p w14:paraId="17750F1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（4）雨水口垃圾清运和拦截的装备和设施，如格栅、清运车、临时设置的导流槽等。</w:t>
      </w:r>
    </w:p>
    <w:p w14:paraId="4B8036C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（5）针对水华灾害，消除有毒有害物质产生条件、清除藻类的物资、装备和设施，如增氧机、除草船等。</w:t>
      </w:r>
    </w:p>
    <w:p w14:paraId="1D41D91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（6）对污染物进行拦截、导流、分流及降解的应急工程设施，如拦截坝、节制闸、导流渠、分流沟、前置库等。</w:t>
      </w:r>
    </w:p>
    <w:p w14:paraId="40FF8A3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85" w:name="bookmark77"/>
      <w:bookmarkEnd w:id="185"/>
      <w:bookmarkStart w:id="186" w:name="_Toc16700"/>
      <w:bookmarkStart w:id="187" w:name="_Toc13600"/>
      <w:r>
        <w:rPr>
          <w:rFonts w:hint="eastAsia" w:ascii="仿宋" w:hAnsi="仿宋" w:eastAsia="仿宋" w:cs="仿宋"/>
          <w:color w:val="auto"/>
          <w:spacing w:val="0"/>
          <w:w w:val="100"/>
          <w:position w:val="0"/>
          <w:sz w:val="28"/>
          <w:szCs w:val="28"/>
          <w:highlight w:val="none"/>
        </w:rPr>
        <w:t>3.8舆情监测与信息发布</w:t>
      </w:r>
      <w:bookmarkEnd w:id="186"/>
      <w:bookmarkEnd w:id="187"/>
    </w:p>
    <w:p w14:paraId="28C0A52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88" w:name="_Toc17936"/>
      <w:bookmarkStart w:id="189" w:name="_Toc30383"/>
      <w:r>
        <w:rPr>
          <w:rFonts w:hint="eastAsia" w:ascii="仿宋" w:hAnsi="仿宋" w:eastAsia="仿宋" w:cs="仿宋"/>
          <w:color w:val="auto"/>
          <w:spacing w:val="0"/>
          <w:w w:val="100"/>
          <w:position w:val="0"/>
          <w:sz w:val="28"/>
          <w:szCs w:val="28"/>
          <w:highlight w:val="none"/>
        </w:rPr>
        <w:t>现场指挥部在水源地突发环境事件发生后，应第一时间借助电视、广播、报纸、互联网、微信</w:t>
      </w:r>
      <w:r>
        <w:rPr>
          <w:rFonts w:ascii="仿宋" w:hAnsi="仿宋" w:eastAsia="仿宋" w:cs="仿宋"/>
          <w:color w:val="auto"/>
          <w:spacing w:val="0"/>
          <w:w w:val="100"/>
          <w:position w:val="0"/>
          <w:sz w:val="28"/>
          <w:szCs w:val="28"/>
          <w:highlight w:val="none"/>
        </w:rPr>
        <w:t>、公众告知等多种途径，主动、及时、准确、客观地向社会及时准确发布事态最新情况，公布咨询电话，组织专家解读；加强相关舆情监测，回应社会关切，澄清不实信息，做好舆论引导工作；并针对舆情及时发布事件原因、污染程度、影响区域、已采取</w:t>
      </w:r>
      <w:r>
        <w:rPr>
          <w:rFonts w:hint="eastAsia" w:ascii="仿宋" w:hAnsi="仿宋" w:eastAsia="仿宋" w:cs="仿宋"/>
          <w:color w:val="auto"/>
          <w:spacing w:val="0"/>
          <w:w w:val="100"/>
          <w:position w:val="0"/>
          <w:sz w:val="28"/>
          <w:szCs w:val="28"/>
          <w:highlight w:val="none"/>
        </w:rPr>
        <w:t>的措施及成效、公众应注意的防范措施等。</w:t>
      </w:r>
      <w:bookmarkEnd w:id="188"/>
      <w:bookmarkEnd w:id="189"/>
    </w:p>
    <w:p w14:paraId="44FF831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90" w:name="_Toc11546"/>
      <w:bookmarkStart w:id="191" w:name="_Toc30390"/>
      <w:r>
        <w:rPr>
          <w:rFonts w:hint="eastAsia" w:ascii="仿宋" w:hAnsi="仿宋" w:eastAsia="仿宋" w:cs="仿宋"/>
          <w:color w:val="auto"/>
          <w:spacing w:val="0"/>
          <w:w w:val="100"/>
          <w:position w:val="0"/>
          <w:sz w:val="28"/>
          <w:szCs w:val="28"/>
          <w:highlight w:val="none"/>
        </w:rPr>
        <w:t>现场指挥部负责较大水源地突发环境事件的信息发布工作；重大和特别重大水源地突发环境事件的信息，由现场指挥部配合落实要求，由区指挥部负责发布。</w:t>
      </w:r>
      <w:bookmarkEnd w:id="190"/>
      <w:bookmarkEnd w:id="191"/>
    </w:p>
    <w:p w14:paraId="13A262B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92" w:name="bookmark78"/>
      <w:bookmarkEnd w:id="192"/>
      <w:bookmarkStart w:id="193" w:name="_Toc21552"/>
      <w:bookmarkStart w:id="194" w:name="_Toc4704"/>
      <w:r>
        <w:rPr>
          <w:rFonts w:hint="eastAsia" w:ascii="仿宋" w:hAnsi="仿宋" w:eastAsia="仿宋" w:cs="仿宋"/>
          <w:color w:val="auto"/>
          <w:spacing w:val="0"/>
          <w:w w:val="100"/>
          <w:position w:val="0"/>
          <w:sz w:val="28"/>
          <w:szCs w:val="28"/>
          <w:highlight w:val="none"/>
        </w:rPr>
        <w:t>3.9响应终止</w:t>
      </w:r>
      <w:bookmarkEnd w:id="193"/>
      <w:bookmarkEnd w:id="194"/>
    </w:p>
    <w:p w14:paraId="3125C66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95" w:name="_Toc9985"/>
      <w:bookmarkStart w:id="196" w:name="_Toc7055"/>
      <w:r>
        <w:rPr>
          <w:rFonts w:hint="eastAsia" w:ascii="仿宋" w:hAnsi="仿宋" w:eastAsia="仿宋" w:cs="仿宋"/>
          <w:color w:val="auto"/>
          <w:spacing w:val="0"/>
          <w:w w:val="100"/>
          <w:position w:val="0"/>
          <w:sz w:val="28"/>
          <w:szCs w:val="28"/>
          <w:highlight w:val="none"/>
        </w:rPr>
        <w:t>当符合下列情形之一的，由现场指挥部提出建议，并报经区指挥部同意后，由区指办通过电视、广播、报纸、互联网、微信等渠道向受影响的区域或群众发布应急响应终止。</w:t>
      </w:r>
      <w:bookmarkEnd w:id="195"/>
      <w:bookmarkEnd w:id="196"/>
    </w:p>
    <w:p w14:paraId="613AD53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197" w:name="_Toc8450"/>
      <w:bookmarkStart w:id="198" w:name="_Toc31850"/>
      <w:r>
        <w:rPr>
          <w:rFonts w:hint="eastAsia" w:ascii="仿宋" w:hAnsi="仿宋" w:eastAsia="仿宋" w:cs="仿宋"/>
          <w:color w:val="auto"/>
          <w:spacing w:val="0"/>
          <w:w w:val="100"/>
          <w:position w:val="0"/>
          <w:sz w:val="28"/>
          <w:szCs w:val="28"/>
          <w:highlight w:val="none"/>
        </w:rPr>
        <w:t>（1）进入水源保护区陆域范围的污染物已成功围堵，且清运至水源保护区外，未向水域扩散时；</w:t>
      </w:r>
      <w:bookmarkEnd w:id="197"/>
      <w:bookmarkEnd w:id="198"/>
    </w:p>
    <w:p w14:paraId="1267449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2</w:t>
      </w:r>
      <w:r>
        <w:rPr>
          <w:rFonts w:ascii="仿宋" w:hAnsi="仿宋" w:eastAsia="仿宋" w:cs="仿宋"/>
          <w:color w:val="auto"/>
          <w:spacing w:val="0"/>
          <w:w w:val="100"/>
          <w:position w:val="0"/>
          <w:sz w:val="28"/>
          <w:szCs w:val="28"/>
          <w:highlight w:val="none"/>
        </w:rPr>
        <w:t>）进入水源保护区水域范围的</w:t>
      </w:r>
      <w:r>
        <w:rPr>
          <w:rFonts w:hint="eastAsia" w:ascii="仿宋" w:hAnsi="仿宋" w:eastAsia="仿宋" w:cs="仿宋"/>
          <w:color w:val="auto"/>
          <w:spacing w:val="0"/>
          <w:w w:val="100"/>
          <w:position w:val="0"/>
          <w:sz w:val="28"/>
          <w:szCs w:val="28"/>
          <w:highlight w:val="none"/>
          <w:lang w:eastAsia="zh-CN"/>
        </w:rPr>
        <w:t>污染源</w:t>
      </w:r>
      <w:r>
        <w:rPr>
          <w:rFonts w:ascii="仿宋" w:hAnsi="仿宋" w:eastAsia="仿宋" w:cs="仿宋"/>
          <w:color w:val="auto"/>
          <w:spacing w:val="0"/>
          <w:w w:val="100"/>
          <w:position w:val="0"/>
          <w:sz w:val="28"/>
          <w:szCs w:val="28"/>
          <w:highlight w:val="none"/>
        </w:rPr>
        <w:t>已成功拦截或导流至水源保护区外，没有向取水口扩散的风险，且水质监测结果稳定达标；</w:t>
      </w:r>
    </w:p>
    <w:p w14:paraId="1D2FAF5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3</w:t>
      </w:r>
      <w:r>
        <w:rPr>
          <w:rFonts w:ascii="仿宋" w:hAnsi="仿宋" w:eastAsia="仿宋" w:cs="仿宋"/>
          <w:color w:val="auto"/>
          <w:spacing w:val="0"/>
          <w:w w:val="100"/>
          <w:position w:val="0"/>
          <w:sz w:val="28"/>
          <w:szCs w:val="28"/>
          <w:highlight w:val="none"/>
        </w:rPr>
        <w:t>）水质监测结果尚未稳定达标，但根据应急专家组建议可恢复正常取水时。</w:t>
      </w:r>
    </w:p>
    <w:p w14:paraId="623367B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0"/>
        <w:rPr>
          <w:rFonts w:ascii="黑体" w:hAnsi="黑体" w:eastAsia="黑体" w:cs="黑体"/>
          <w:color w:val="auto"/>
          <w:spacing w:val="0"/>
          <w:w w:val="100"/>
          <w:position w:val="0"/>
          <w:sz w:val="28"/>
          <w:szCs w:val="28"/>
          <w:highlight w:val="none"/>
        </w:rPr>
      </w:pPr>
      <w:bookmarkStart w:id="199" w:name="_Toc23915"/>
      <w:bookmarkStart w:id="200" w:name="_Toc15147"/>
      <w:bookmarkStart w:id="201" w:name="_Toc32536"/>
      <w:bookmarkStart w:id="202" w:name="_Toc9497"/>
      <w:bookmarkStart w:id="203" w:name="_Toc17451"/>
      <w:bookmarkStart w:id="204" w:name="_Toc11862"/>
      <w:bookmarkStart w:id="205" w:name="_Toc29853"/>
      <w:r>
        <w:rPr>
          <w:rFonts w:ascii="黑体" w:hAnsi="黑体" w:eastAsia="黑体" w:cs="黑体"/>
          <w:color w:val="auto"/>
          <w:spacing w:val="0"/>
          <w:w w:val="100"/>
          <w:position w:val="0"/>
          <w:sz w:val="28"/>
          <w:szCs w:val="28"/>
          <w:highlight w:val="none"/>
        </w:rPr>
        <w:t>4后期工作</w:t>
      </w:r>
      <w:bookmarkEnd w:id="199"/>
      <w:bookmarkEnd w:id="200"/>
      <w:bookmarkEnd w:id="201"/>
      <w:bookmarkEnd w:id="202"/>
      <w:bookmarkEnd w:id="203"/>
      <w:bookmarkEnd w:id="204"/>
      <w:bookmarkEnd w:id="205"/>
    </w:p>
    <w:p w14:paraId="1F60C5B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bookmarkStart w:id="206" w:name="bookmark79"/>
      <w:bookmarkEnd w:id="206"/>
      <w:r>
        <w:rPr>
          <w:rFonts w:ascii="仿宋" w:hAnsi="仿宋" w:eastAsia="仿宋" w:cs="仿宋"/>
          <w:color w:val="auto"/>
          <w:spacing w:val="0"/>
          <w:w w:val="100"/>
          <w:position w:val="0"/>
          <w:sz w:val="28"/>
          <w:szCs w:val="28"/>
          <w:highlight w:val="none"/>
        </w:rPr>
        <w:t>4.1后期防控</w:t>
      </w:r>
    </w:p>
    <w:p w14:paraId="3BD2968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水源地突发环境事件应急响应终止后，区指挥部应组织应急监测队伍进行后期污染监测；组织专家制定后期污染治理方案，消除投放药剂的残留毒性和后期效应，防止次生突发环境事件；事件处理过程中产生的二次污染物应采取措施妥善、合法处置。事故处置过程产生的废水污染物收集后由区生态环境局委托有处理能力的单位处理达标后排放，事故处置过程产生的固废污染物需妥善安全暂存，委托有能力处置单位妥善处置，若为危险废物须交由有资质单位安全处置；在事故场地及</w:t>
      </w:r>
      <w:r>
        <w:rPr>
          <w:rFonts w:hint="eastAsia" w:ascii="仿宋" w:hAnsi="仿宋" w:eastAsia="仿宋" w:cs="仿宋"/>
          <w:color w:val="auto"/>
          <w:spacing w:val="0"/>
          <w:w w:val="100"/>
          <w:position w:val="0"/>
          <w:sz w:val="28"/>
          <w:szCs w:val="28"/>
          <w:highlight w:val="none"/>
          <w:lang w:eastAsia="zh-CN"/>
        </w:rPr>
        <w:t>蔓延</w:t>
      </w:r>
      <w:r>
        <w:rPr>
          <w:rFonts w:ascii="仿宋" w:hAnsi="仿宋" w:eastAsia="仿宋" w:cs="仿宋"/>
          <w:color w:val="auto"/>
          <w:spacing w:val="0"/>
          <w:w w:val="100"/>
          <w:position w:val="0"/>
          <w:sz w:val="28"/>
          <w:szCs w:val="28"/>
          <w:highlight w:val="none"/>
        </w:rPr>
        <w:t>区域的污染物清除完成后，对土壤或水生态系统进行修复。</w:t>
      </w:r>
    </w:p>
    <w:p w14:paraId="005538A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bookmarkStart w:id="207" w:name="bookmark80"/>
      <w:bookmarkEnd w:id="207"/>
      <w:r>
        <w:rPr>
          <w:rFonts w:ascii="仿宋" w:hAnsi="仿宋" w:eastAsia="仿宋" w:cs="仿宋"/>
          <w:color w:val="auto"/>
          <w:spacing w:val="0"/>
          <w:w w:val="100"/>
          <w:position w:val="0"/>
          <w:sz w:val="28"/>
          <w:szCs w:val="28"/>
          <w:highlight w:val="none"/>
        </w:rPr>
        <w:t>4.2事件调查</w:t>
      </w:r>
    </w:p>
    <w:p w14:paraId="326AA0D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水源地突发环境事件发生后，根据《突发环境事件调查处理办法》等有关规定，由区生态环境局牵头，各有关部门配合，组织开展事件调查，通过对监测数据进行污染源分析、明察暗访等方式查明事件原因和性质，提出整改防范措施和处理建议。</w:t>
      </w:r>
    </w:p>
    <w:p w14:paraId="27030E3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bookmarkStart w:id="208" w:name="bookmark81"/>
      <w:bookmarkEnd w:id="208"/>
      <w:r>
        <w:rPr>
          <w:rFonts w:ascii="仿宋" w:hAnsi="仿宋" w:eastAsia="仿宋" w:cs="仿宋"/>
          <w:color w:val="auto"/>
          <w:spacing w:val="0"/>
          <w:w w:val="100"/>
          <w:position w:val="0"/>
          <w:sz w:val="28"/>
          <w:szCs w:val="28"/>
          <w:highlight w:val="none"/>
        </w:rPr>
        <w:t>4.3损害评估</w:t>
      </w:r>
    </w:p>
    <w:p w14:paraId="5B6B216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区政府应及时委托生态环境损害鉴定评估机构，组织开展生态环境损害鉴定评估，并将评估结果向社会公布。评估结论作为事件调查处理、损害赔偿、环境修复和生态恢复重建的依据。</w:t>
      </w:r>
    </w:p>
    <w:p w14:paraId="5AAE86B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bookmarkStart w:id="209" w:name="bookmark82"/>
      <w:bookmarkEnd w:id="209"/>
      <w:r>
        <w:rPr>
          <w:rFonts w:ascii="仿宋" w:hAnsi="仿宋" w:eastAsia="仿宋" w:cs="仿宋"/>
          <w:color w:val="auto"/>
          <w:spacing w:val="0"/>
          <w:w w:val="100"/>
          <w:position w:val="0"/>
          <w:sz w:val="28"/>
          <w:szCs w:val="28"/>
          <w:highlight w:val="none"/>
        </w:rPr>
        <w:t>4.4善后处置</w:t>
      </w:r>
    </w:p>
    <w:p w14:paraId="00FF073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区政府负责，区政府和有关部门配合，开展善后处置工作，内容包括损害赔偿、风险源整改和污染场地修复等。</w:t>
      </w:r>
    </w:p>
    <w:p w14:paraId="72F0A96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0"/>
        <w:rPr>
          <w:rFonts w:ascii="黑体" w:hAnsi="黑体" w:eastAsia="黑体" w:cs="黑体"/>
          <w:color w:val="auto"/>
          <w:spacing w:val="0"/>
          <w:w w:val="100"/>
          <w:position w:val="0"/>
          <w:sz w:val="28"/>
          <w:szCs w:val="28"/>
          <w:highlight w:val="none"/>
        </w:rPr>
      </w:pPr>
      <w:bookmarkStart w:id="210" w:name="_Toc32269"/>
      <w:bookmarkStart w:id="211" w:name="_Toc6125"/>
      <w:bookmarkStart w:id="212" w:name="_Toc31674"/>
      <w:bookmarkStart w:id="213" w:name="_Toc26648"/>
      <w:bookmarkStart w:id="214" w:name="_Toc644"/>
      <w:bookmarkStart w:id="215" w:name="_Toc22071"/>
      <w:bookmarkStart w:id="216" w:name="_Toc21610"/>
      <w:r>
        <w:rPr>
          <w:rFonts w:ascii="黑体" w:hAnsi="黑体" w:eastAsia="黑体" w:cs="黑体"/>
          <w:color w:val="auto"/>
          <w:spacing w:val="0"/>
          <w:w w:val="100"/>
          <w:position w:val="0"/>
          <w:sz w:val="28"/>
          <w:szCs w:val="28"/>
          <w:highlight w:val="none"/>
        </w:rPr>
        <w:t>5应急保障</w:t>
      </w:r>
      <w:bookmarkEnd w:id="210"/>
      <w:bookmarkEnd w:id="211"/>
      <w:bookmarkEnd w:id="212"/>
      <w:bookmarkEnd w:id="213"/>
      <w:bookmarkEnd w:id="214"/>
      <w:bookmarkEnd w:id="215"/>
      <w:bookmarkEnd w:id="216"/>
    </w:p>
    <w:p w14:paraId="766829B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color w:val="auto"/>
          <w:spacing w:val="0"/>
          <w:w w:val="100"/>
          <w:position w:val="0"/>
          <w:highlight w:val="none"/>
        </w:rPr>
      </w:pPr>
      <w:bookmarkStart w:id="217" w:name="bookmark83"/>
      <w:bookmarkEnd w:id="217"/>
      <w:r>
        <w:rPr>
          <w:rFonts w:ascii="仿宋" w:hAnsi="仿宋" w:eastAsia="仿宋" w:cs="仿宋"/>
          <w:color w:val="auto"/>
          <w:spacing w:val="0"/>
          <w:w w:val="100"/>
          <w:position w:val="0"/>
          <w:sz w:val="28"/>
          <w:szCs w:val="28"/>
          <w:highlight w:val="none"/>
        </w:rPr>
        <w:t>5.1通讯与信息保障</w:t>
      </w:r>
    </w:p>
    <w:p w14:paraId="25C8CA3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区指挥部各成员单位应建立和完善通讯联络系统。区指办加强环境应急值守，确保报警电话畅通。区指挥部各成员单位均应设置</w:t>
      </w:r>
      <w:r>
        <w:rPr>
          <w:rFonts w:ascii="Times New Roman" w:hAnsi="Times New Roman" w:eastAsia="Times New Roman" w:cs="Times New Roman"/>
          <w:color w:val="auto"/>
          <w:spacing w:val="0"/>
          <w:w w:val="100"/>
          <w:position w:val="0"/>
          <w:sz w:val="28"/>
          <w:szCs w:val="28"/>
          <w:highlight w:val="none"/>
        </w:rPr>
        <w:t>1</w:t>
      </w:r>
      <w:r>
        <w:rPr>
          <w:rFonts w:ascii="仿宋" w:hAnsi="仿宋" w:eastAsia="仿宋" w:cs="仿宋"/>
          <w:color w:val="auto"/>
          <w:spacing w:val="0"/>
          <w:w w:val="100"/>
          <w:position w:val="0"/>
          <w:sz w:val="28"/>
          <w:szCs w:val="28"/>
          <w:highlight w:val="none"/>
        </w:rPr>
        <w:t>部专用值班电话，并确保</w:t>
      </w:r>
      <w:r>
        <w:rPr>
          <w:rFonts w:ascii="Times New Roman" w:hAnsi="Times New Roman" w:eastAsia="Times New Roman" w:cs="Times New Roman"/>
          <w:color w:val="auto"/>
          <w:spacing w:val="0"/>
          <w:w w:val="100"/>
          <w:position w:val="0"/>
          <w:sz w:val="28"/>
          <w:szCs w:val="28"/>
          <w:highlight w:val="none"/>
        </w:rPr>
        <w:t>24</w:t>
      </w:r>
      <w:r>
        <w:rPr>
          <w:rFonts w:ascii="仿宋" w:hAnsi="仿宋" w:eastAsia="仿宋" w:cs="仿宋"/>
          <w:color w:val="auto"/>
          <w:spacing w:val="0"/>
          <w:w w:val="100"/>
          <w:position w:val="0"/>
          <w:sz w:val="28"/>
          <w:szCs w:val="28"/>
          <w:highlight w:val="none"/>
        </w:rPr>
        <w:t>小时有人值守。</w:t>
      </w:r>
    </w:p>
    <w:p w14:paraId="0E586B2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新闻宣传组负责对外发布事件信息及应急处置进展情况。区指挥部负责提供准确、权威的信息</w:t>
      </w:r>
      <w:r>
        <w:rPr>
          <w:rFonts w:hint="eastAsia" w:ascii="仿宋" w:hAnsi="仿宋" w:eastAsia="仿宋" w:cs="仿宋"/>
          <w:color w:val="auto"/>
          <w:spacing w:val="0"/>
          <w:w w:val="100"/>
          <w:position w:val="0"/>
          <w:sz w:val="28"/>
          <w:szCs w:val="28"/>
          <w:highlight w:val="none"/>
          <w:lang w:eastAsia="zh-CN"/>
        </w:rPr>
        <w:t>，由</w:t>
      </w:r>
      <w:r>
        <w:rPr>
          <w:rFonts w:ascii="仿宋" w:hAnsi="仿宋" w:eastAsia="仿宋" w:cs="仿宋"/>
          <w:color w:val="auto"/>
          <w:spacing w:val="0"/>
          <w:w w:val="100"/>
          <w:position w:val="0"/>
          <w:sz w:val="28"/>
          <w:szCs w:val="28"/>
          <w:highlight w:val="none"/>
        </w:rPr>
        <w:t>区委宣传部组织统一发布，确保信息准确、及时传递，正确引导社会舆论。事件发生的第一时间要向社会发布简要信息，随后发布初步核实情况、政府应对措施等，并根据事件处置情况做好后续发布工作。</w:t>
      </w:r>
    </w:p>
    <w:p w14:paraId="362B5FD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218" w:name="bookmark84"/>
      <w:bookmarkEnd w:id="218"/>
      <w:bookmarkStart w:id="219" w:name="_Toc30115"/>
      <w:bookmarkStart w:id="220" w:name="_Toc28311"/>
      <w:bookmarkStart w:id="221" w:name="_Toc259"/>
      <w:bookmarkStart w:id="222" w:name="_Toc15265"/>
      <w:bookmarkStart w:id="223" w:name="_Toc6242"/>
      <w:bookmarkStart w:id="224" w:name="_Toc3730"/>
      <w:bookmarkStart w:id="225" w:name="_Toc14393"/>
      <w:r>
        <w:rPr>
          <w:rFonts w:ascii="楷体" w:hAnsi="楷体" w:eastAsia="楷体" w:cs="楷体"/>
          <w:color w:val="auto"/>
          <w:spacing w:val="0"/>
          <w:w w:val="100"/>
          <w:position w:val="0"/>
          <w:sz w:val="28"/>
          <w:szCs w:val="28"/>
          <w:highlight w:val="none"/>
        </w:rPr>
        <w:t>5.2应急队伍保障</w:t>
      </w:r>
      <w:bookmarkEnd w:id="219"/>
      <w:bookmarkEnd w:id="220"/>
      <w:bookmarkEnd w:id="221"/>
      <w:bookmarkEnd w:id="222"/>
      <w:bookmarkEnd w:id="223"/>
      <w:bookmarkEnd w:id="224"/>
      <w:bookmarkEnd w:id="225"/>
    </w:p>
    <w:p w14:paraId="12A6337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区级有关部门应建立多层次的应急保障队伍，进一步</w:t>
      </w:r>
      <w:r>
        <w:rPr>
          <w:rFonts w:hint="eastAsia" w:ascii="仿宋" w:hAnsi="仿宋" w:eastAsia="仿宋" w:cs="仿宋"/>
          <w:color w:val="auto"/>
          <w:spacing w:val="0"/>
          <w:w w:val="100"/>
          <w:position w:val="0"/>
          <w:sz w:val="28"/>
          <w:szCs w:val="28"/>
          <w:highlight w:val="none"/>
          <w:lang w:eastAsia="zh-CN"/>
        </w:rPr>
        <w:t>提升</w:t>
      </w:r>
      <w:r>
        <w:rPr>
          <w:rFonts w:ascii="仿宋" w:hAnsi="仿宋" w:eastAsia="仿宋" w:cs="仿宋"/>
          <w:color w:val="auto"/>
          <w:spacing w:val="0"/>
          <w:w w:val="100"/>
          <w:position w:val="0"/>
          <w:sz w:val="28"/>
          <w:szCs w:val="28"/>
          <w:highlight w:val="none"/>
        </w:rPr>
        <w:t>消防救援大队处置突发环境事件的能力，同时依托环保专业处置企业等社会化力量，建立社会化的环境应急救援队伍。</w:t>
      </w:r>
    </w:p>
    <w:p w14:paraId="48D2552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加强应急队伍培训和演练。各成员单位应制订年度培训、演练计划，并认真组织实施；区指挥部组织全区演练，发现不足及时改进，不断提高各部门协同作战能力。</w:t>
      </w:r>
    </w:p>
    <w:p w14:paraId="6E97F97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hint="eastAsia" w:ascii="仿宋" w:hAnsi="仿宋" w:eastAsia="仿宋" w:cs="仿宋"/>
          <w:color w:val="auto"/>
          <w:spacing w:val="0"/>
          <w:w w:val="100"/>
          <w:position w:val="0"/>
          <w:sz w:val="28"/>
          <w:szCs w:val="28"/>
          <w:highlight w:val="none"/>
        </w:rPr>
      </w:pPr>
      <w:bookmarkStart w:id="226" w:name="bookmark85"/>
      <w:bookmarkEnd w:id="226"/>
      <w:bookmarkStart w:id="227" w:name="_Toc17765"/>
      <w:bookmarkStart w:id="228" w:name="_Toc26272"/>
      <w:bookmarkStart w:id="229" w:name="_Toc13735"/>
      <w:bookmarkStart w:id="230" w:name="_Toc7744"/>
      <w:bookmarkStart w:id="231" w:name="_Toc959"/>
      <w:bookmarkStart w:id="232" w:name="_Toc21790"/>
      <w:bookmarkStart w:id="233" w:name="_Toc20030"/>
      <w:r>
        <w:rPr>
          <w:rFonts w:hint="eastAsia" w:ascii="仿宋" w:hAnsi="仿宋" w:eastAsia="仿宋" w:cs="仿宋"/>
          <w:color w:val="auto"/>
          <w:spacing w:val="0"/>
          <w:w w:val="100"/>
          <w:position w:val="0"/>
          <w:sz w:val="28"/>
          <w:szCs w:val="28"/>
          <w:highlight w:val="none"/>
        </w:rPr>
        <w:t>5.3应急资源保障</w:t>
      </w:r>
      <w:bookmarkEnd w:id="227"/>
      <w:bookmarkEnd w:id="228"/>
      <w:bookmarkEnd w:id="229"/>
      <w:bookmarkEnd w:id="230"/>
      <w:bookmarkEnd w:id="231"/>
      <w:bookmarkEnd w:id="232"/>
      <w:bookmarkEnd w:id="233"/>
    </w:p>
    <w:p w14:paraId="064DAC5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区指挥部各成员单位根据职责分工，组织做好环境应急物资紧急生产、储备调用、紧急配送工作并做好本单位应急物资的更新及养护，保障应急处置和后续环境恢复需要。应根据事件和演练经验，持续改进药剂、物资、装备的规范存放，提高应急设施的建设要求，确保事件发生时能够快速高效</w:t>
      </w:r>
      <w:r>
        <w:rPr>
          <w:rFonts w:hint="eastAsia" w:ascii="仿宋" w:hAnsi="仿宋" w:eastAsia="仿宋" w:cs="仿宋"/>
          <w:color w:val="auto"/>
          <w:spacing w:val="0"/>
          <w:w w:val="100"/>
          <w:position w:val="0"/>
          <w:sz w:val="28"/>
          <w:szCs w:val="28"/>
          <w:highlight w:val="none"/>
          <w:lang w:eastAsia="zh-CN"/>
        </w:rPr>
        <w:t>地</w:t>
      </w:r>
      <w:r>
        <w:rPr>
          <w:rFonts w:hint="eastAsia" w:ascii="仿宋" w:hAnsi="仿宋" w:eastAsia="仿宋" w:cs="仿宋"/>
          <w:color w:val="auto"/>
          <w:spacing w:val="0"/>
          <w:w w:val="100"/>
          <w:position w:val="0"/>
          <w:sz w:val="28"/>
          <w:szCs w:val="28"/>
          <w:highlight w:val="none"/>
        </w:rPr>
        <w:t>使用应急资源。</w:t>
      </w:r>
    </w:p>
    <w:p w14:paraId="3EDAFF8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hint="eastAsia" w:ascii="仿宋" w:hAnsi="仿宋" w:eastAsia="仿宋" w:cs="仿宋"/>
          <w:color w:val="auto"/>
          <w:spacing w:val="0"/>
          <w:w w:val="100"/>
          <w:position w:val="0"/>
          <w:sz w:val="28"/>
          <w:szCs w:val="28"/>
          <w:highlight w:val="none"/>
        </w:rPr>
      </w:pPr>
      <w:bookmarkStart w:id="234" w:name="bookmark86"/>
      <w:bookmarkEnd w:id="234"/>
      <w:bookmarkStart w:id="235" w:name="_Toc30236"/>
      <w:bookmarkStart w:id="236" w:name="_Toc14815"/>
      <w:bookmarkStart w:id="237" w:name="_Toc1094"/>
      <w:bookmarkStart w:id="238" w:name="_Toc17641"/>
      <w:bookmarkStart w:id="239" w:name="_Toc13479"/>
      <w:bookmarkStart w:id="240" w:name="_Toc10586"/>
      <w:bookmarkStart w:id="241" w:name="_Toc31514"/>
      <w:r>
        <w:rPr>
          <w:rFonts w:hint="eastAsia" w:ascii="仿宋" w:hAnsi="仿宋" w:eastAsia="仿宋" w:cs="仿宋"/>
          <w:color w:val="auto"/>
          <w:spacing w:val="0"/>
          <w:w w:val="100"/>
          <w:position w:val="0"/>
          <w:sz w:val="28"/>
          <w:szCs w:val="28"/>
          <w:highlight w:val="none"/>
        </w:rPr>
        <w:t>5.4经费保障</w:t>
      </w:r>
      <w:bookmarkEnd w:id="235"/>
      <w:bookmarkEnd w:id="236"/>
      <w:bookmarkEnd w:id="237"/>
      <w:bookmarkEnd w:id="238"/>
      <w:bookmarkEnd w:id="239"/>
      <w:bookmarkEnd w:id="240"/>
      <w:bookmarkEnd w:id="241"/>
    </w:p>
    <w:p w14:paraId="2A0B6EF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应急工作经费（包括水源地应急预案编制、演练、修订及应急处置等费用）由区生态环境局提出，经区财政局审核后，按规定程序列入年度财政预算。应急处置工作中需财政负担的经费，按照我区现行事权、财权划分原则，实行分级负担。应急处置结束后，据实核销应急处置费用。区财政和审计部门要对应急保障资金的使用和效果进行监管和评估，确保专款专用。</w:t>
      </w:r>
    </w:p>
    <w:p w14:paraId="646782B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hint="eastAsia" w:ascii="仿宋" w:hAnsi="仿宋" w:eastAsia="仿宋" w:cs="仿宋"/>
          <w:color w:val="auto"/>
          <w:spacing w:val="0"/>
          <w:w w:val="100"/>
          <w:position w:val="0"/>
          <w:sz w:val="28"/>
          <w:szCs w:val="28"/>
          <w:highlight w:val="none"/>
        </w:rPr>
      </w:pPr>
      <w:bookmarkStart w:id="242" w:name="_Toc4797"/>
      <w:bookmarkStart w:id="243" w:name="_Toc24432"/>
      <w:bookmarkStart w:id="244" w:name="_Toc3413"/>
      <w:bookmarkStart w:id="245" w:name="_Toc17388"/>
      <w:bookmarkStart w:id="246" w:name="_Toc6549"/>
      <w:bookmarkStart w:id="247" w:name="_Toc27149"/>
      <w:bookmarkStart w:id="248" w:name="_Toc13633"/>
      <w:r>
        <w:rPr>
          <w:rFonts w:hint="eastAsia" w:ascii="仿宋" w:hAnsi="仿宋" w:eastAsia="仿宋" w:cs="仿宋"/>
          <w:color w:val="auto"/>
          <w:spacing w:val="0"/>
          <w:w w:val="100"/>
          <w:position w:val="0"/>
          <w:sz w:val="28"/>
          <w:szCs w:val="28"/>
          <w:highlight w:val="none"/>
        </w:rPr>
        <w:t>5.5其他保障</w:t>
      </w:r>
      <w:bookmarkEnd w:id="242"/>
      <w:bookmarkEnd w:id="243"/>
      <w:bookmarkEnd w:id="244"/>
      <w:bookmarkEnd w:id="245"/>
      <w:bookmarkEnd w:id="246"/>
      <w:bookmarkEnd w:id="247"/>
      <w:bookmarkEnd w:id="248"/>
    </w:p>
    <w:p w14:paraId="6F083C2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249" w:name="bookmark87"/>
      <w:bookmarkEnd w:id="249"/>
      <w:bookmarkStart w:id="250" w:name="_Toc9227"/>
      <w:bookmarkStart w:id="251" w:name="_Toc4876"/>
      <w:r>
        <w:rPr>
          <w:rFonts w:hint="eastAsia" w:ascii="仿宋" w:hAnsi="仿宋" w:eastAsia="仿宋" w:cs="仿宋"/>
          <w:color w:val="auto"/>
          <w:spacing w:val="0"/>
          <w:w w:val="100"/>
          <w:position w:val="0"/>
          <w:sz w:val="28"/>
          <w:szCs w:val="28"/>
          <w:highlight w:val="none"/>
        </w:rPr>
        <w:t>5.5.1物资、设备设施运输保障</w:t>
      </w:r>
      <w:bookmarkEnd w:id="250"/>
      <w:bookmarkEnd w:id="251"/>
    </w:p>
    <w:p w14:paraId="6EA4199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交通运输局根据应急指挥部的指令，负责保证应急处置状态下应急处置物资和设备设施的运输保障，应急交通工具优先安排、优先调度。</w:t>
      </w:r>
    </w:p>
    <w:p w14:paraId="19C17D5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消防救援大队根据应急指挥部的指令，负责协助清理现场，调配消防车辆向供水保障区域应急送水。</w:t>
      </w:r>
    </w:p>
    <w:p w14:paraId="7615762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hint="eastAsia" w:ascii="仿宋" w:hAnsi="仿宋" w:eastAsia="仿宋" w:cs="仿宋"/>
          <w:color w:val="auto"/>
          <w:spacing w:val="0"/>
          <w:w w:val="100"/>
          <w:position w:val="0"/>
          <w:sz w:val="28"/>
          <w:szCs w:val="28"/>
          <w:highlight w:val="none"/>
        </w:rPr>
      </w:pPr>
      <w:bookmarkStart w:id="252" w:name="bookmark88"/>
      <w:bookmarkEnd w:id="252"/>
      <w:bookmarkStart w:id="253" w:name="_Toc10665"/>
      <w:bookmarkStart w:id="254" w:name="_Toc9455"/>
      <w:r>
        <w:rPr>
          <w:rFonts w:hint="eastAsia" w:ascii="仿宋" w:hAnsi="仿宋" w:eastAsia="仿宋" w:cs="仿宋"/>
          <w:color w:val="auto"/>
          <w:spacing w:val="0"/>
          <w:w w:val="100"/>
          <w:position w:val="0"/>
          <w:sz w:val="28"/>
          <w:szCs w:val="28"/>
          <w:highlight w:val="none"/>
        </w:rPr>
        <w:t>5.5.2医疗卫生救助保障</w:t>
      </w:r>
      <w:bookmarkEnd w:id="253"/>
      <w:bookmarkEnd w:id="254"/>
    </w:p>
    <w:p w14:paraId="2FABDA8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卫生健康局</w:t>
      </w:r>
      <w:r>
        <w:rPr>
          <w:rFonts w:hint="eastAsia" w:ascii="仿宋" w:hAnsi="仿宋" w:eastAsia="仿宋" w:cs="仿宋"/>
          <w:color w:val="auto"/>
          <w:spacing w:val="0"/>
          <w:w w:val="100"/>
          <w:position w:val="0"/>
          <w:sz w:val="28"/>
          <w:szCs w:val="28"/>
          <w:highlight w:val="none"/>
        </w:rPr>
        <w:t>负责完善应急救护</w:t>
      </w:r>
      <w:r>
        <w:rPr>
          <w:rFonts w:hint="eastAsia" w:ascii="仿宋" w:hAnsi="仿宋" w:eastAsia="仿宋" w:cs="仿宋"/>
          <w:color w:val="auto"/>
          <w:spacing w:val="0"/>
          <w:w w:val="100"/>
          <w:position w:val="0"/>
          <w:sz w:val="28"/>
          <w:szCs w:val="28"/>
          <w:highlight w:val="none"/>
          <w:lang w:eastAsia="zh-CN"/>
        </w:rPr>
        <w:t>机制</w:t>
      </w:r>
      <w:r>
        <w:rPr>
          <w:rFonts w:ascii="仿宋" w:hAnsi="仿宋" w:eastAsia="仿宋" w:cs="仿宋"/>
          <w:color w:val="auto"/>
          <w:spacing w:val="0"/>
          <w:w w:val="100"/>
          <w:position w:val="0"/>
          <w:sz w:val="28"/>
          <w:szCs w:val="28"/>
          <w:highlight w:val="none"/>
        </w:rPr>
        <w:t>，储备医疗救治、检测检验等卫生应急物资。主要负责对供水单位的卫生监督；开展水源水、出厂水、管网末梢水、二次供水的水质监测；对</w:t>
      </w:r>
      <w:r>
        <w:rPr>
          <w:rFonts w:hint="eastAsia" w:ascii="仿宋" w:hAnsi="仿宋" w:eastAsia="仿宋" w:cs="仿宋"/>
          <w:color w:val="auto"/>
          <w:spacing w:val="0"/>
          <w:w w:val="100"/>
          <w:position w:val="0"/>
          <w:sz w:val="28"/>
          <w:szCs w:val="28"/>
          <w:highlight w:val="none"/>
          <w:lang w:eastAsia="zh-CN"/>
        </w:rPr>
        <w:t>发生</w:t>
      </w:r>
      <w:r>
        <w:rPr>
          <w:rFonts w:ascii="仿宋" w:hAnsi="仿宋" w:eastAsia="仿宋" w:cs="仿宋"/>
          <w:color w:val="auto"/>
          <w:spacing w:val="0"/>
          <w:w w:val="100"/>
          <w:position w:val="0"/>
          <w:sz w:val="28"/>
          <w:szCs w:val="28"/>
          <w:highlight w:val="none"/>
        </w:rPr>
        <w:t>突发环境事件造成的人员伤亡及时组织医疗急救。</w:t>
      </w:r>
    </w:p>
    <w:p w14:paraId="54EE5FE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255" w:name="bookmark89"/>
      <w:bookmarkEnd w:id="255"/>
      <w:bookmarkStart w:id="256" w:name="_Toc3906"/>
      <w:bookmarkStart w:id="257" w:name="_Toc7512"/>
      <w:r>
        <w:rPr>
          <w:rFonts w:ascii="仿宋" w:hAnsi="仿宋" w:eastAsia="仿宋" w:cs="仿宋"/>
          <w:color w:val="auto"/>
          <w:spacing w:val="0"/>
          <w:w w:val="100"/>
          <w:position w:val="0"/>
          <w:sz w:val="28"/>
          <w:szCs w:val="28"/>
          <w:highlight w:val="none"/>
        </w:rPr>
        <w:t>5.5.3治安和人员安全保障</w:t>
      </w:r>
      <w:bookmarkEnd w:id="256"/>
      <w:bookmarkEnd w:id="257"/>
    </w:p>
    <w:p w14:paraId="204A9A9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发生突发环境事件时，区公安局根据现场指挥部指令，依据相关规定实施治安维护工作，及时做好人员疏散、现场控制、交通管制等工作，采取有力措施防止不法人员趁乱抢劫、盗窃或哄抢财物，依法打击破坏社会秩序的行为，维护社会稳定。</w:t>
      </w:r>
    </w:p>
    <w:p w14:paraId="449C539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区应急管理局根据现场指挥部的指令，组织协调受灾群众的安置和救助工作，并指导相关部门向群众分发救灾物资。</w:t>
      </w:r>
    </w:p>
    <w:p w14:paraId="4CA5577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现场处置人员应根据事件特征，配置相应的专业防护装备，采取安全防护措施，严格执行应急处置程序。</w:t>
      </w:r>
    </w:p>
    <w:p w14:paraId="29AB74A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258" w:name="bookmark90"/>
      <w:bookmarkEnd w:id="258"/>
      <w:bookmarkStart w:id="259" w:name="_Toc27599"/>
      <w:bookmarkStart w:id="260" w:name="_Toc30164"/>
      <w:r>
        <w:rPr>
          <w:rFonts w:ascii="仿宋" w:hAnsi="仿宋" w:eastAsia="仿宋" w:cs="仿宋"/>
          <w:color w:val="auto"/>
          <w:spacing w:val="0"/>
          <w:w w:val="100"/>
          <w:position w:val="0"/>
          <w:sz w:val="28"/>
          <w:szCs w:val="28"/>
          <w:highlight w:val="none"/>
        </w:rPr>
        <w:t>5.5.4社会动员保障</w:t>
      </w:r>
      <w:bookmarkEnd w:id="259"/>
      <w:bookmarkEnd w:id="260"/>
    </w:p>
    <w:p w14:paraId="5223391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区政府制定社会动员方案，明确动员的条件、范围、程序和相关的保障措施，运用各种形式，将</w:t>
      </w:r>
      <w:r>
        <w:rPr>
          <w:rFonts w:hint="eastAsia" w:ascii="仿宋" w:hAnsi="仿宋" w:eastAsia="仿宋" w:cs="仿宋"/>
          <w:color w:val="auto"/>
          <w:spacing w:val="0"/>
          <w:w w:val="100"/>
          <w:position w:val="0"/>
          <w:sz w:val="28"/>
          <w:szCs w:val="28"/>
          <w:highlight w:val="none"/>
          <w:lang w:eastAsia="zh-CN"/>
        </w:rPr>
        <w:t>受水源地</w:t>
      </w:r>
      <w:r>
        <w:rPr>
          <w:rFonts w:ascii="仿宋" w:hAnsi="仿宋" w:eastAsia="仿宋" w:cs="仿宋"/>
          <w:color w:val="auto"/>
          <w:spacing w:val="0"/>
          <w:w w:val="100"/>
          <w:position w:val="0"/>
          <w:sz w:val="28"/>
          <w:szCs w:val="28"/>
          <w:highlight w:val="none"/>
        </w:rPr>
        <w:t>突发环境</w:t>
      </w:r>
      <w:r>
        <w:rPr>
          <w:rFonts w:hint="eastAsia" w:ascii="仿宋" w:hAnsi="仿宋" w:eastAsia="仿宋" w:cs="仿宋"/>
          <w:color w:val="auto"/>
          <w:spacing w:val="0"/>
          <w:w w:val="100"/>
          <w:position w:val="0"/>
          <w:sz w:val="28"/>
          <w:szCs w:val="28"/>
          <w:highlight w:val="none"/>
          <w:lang w:eastAsia="zh-CN"/>
        </w:rPr>
        <w:t>事件</w:t>
      </w:r>
      <w:r>
        <w:rPr>
          <w:rFonts w:ascii="仿宋" w:hAnsi="仿宋" w:eastAsia="仿宋" w:cs="仿宋"/>
          <w:color w:val="auto"/>
          <w:spacing w:val="0"/>
          <w:w w:val="100"/>
          <w:position w:val="0"/>
          <w:sz w:val="28"/>
          <w:szCs w:val="28"/>
          <w:highlight w:val="none"/>
        </w:rPr>
        <w:t>影响范围</w:t>
      </w:r>
      <w:r>
        <w:rPr>
          <w:rFonts w:hint="eastAsia" w:ascii="仿宋" w:hAnsi="仿宋" w:eastAsia="仿宋" w:cs="仿宋"/>
          <w:color w:val="auto"/>
          <w:spacing w:val="0"/>
          <w:w w:val="100"/>
          <w:position w:val="0"/>
          <w:sz w:val="28"/>
          <w:szCs w:val="28"/>
          <w:highlight w:val="none"/>
          <w:lang w:eastAsia="zh-CN"/>
        </w:rPr>
        <w:t>内的</w:t>
      </w:r>
      <w:r>
        <w:rPr>
          <w:rFonts w:ascii="仿宋" w:hAnsi="仿宋" w:eastAsia="仿宋" w:cs="仿宋"/>
          <w:color w:val="auto"/>
          <w:spacing w:val="0"/>
          <w:w w:val="100"/>
          <w:position w:val="0"/>
          <w:sz w:val="28"/>
          <w:szCs w:val="28"/>
          <w:highlight w:val="none"/>
        </w:rPr>
        <w:t>对象动员起来，共同参与和配合水源地突发环境事件的应急处置。</w:t>
      </w:r>
    </w:p>
    <w:p w14:paraId="00CCF8B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0"/>
        <w:rPr>
          <w:rFonts w:ascii="黑体" w:hAnsi="黑体" w:eastAsia="黑体" w:cs="黑体"/>
          <w:color w:val="auto"/>
          <w:spacing w:val="0"/>
          <w:w w:val="100"/>
          <w:position w:val="0"/>
          <w:sz w:val="28"/>
          <w:szCs w:val="28"/>
          <w:highlight w:val="none"/>
        </w:rPr>
      </w:pPr>
      <w:bookmarkStart w:id="261" w:name="_Toc4305"/>
      <w:bookmarkStart w:id="262" w:name="_Toc5640"/>
      <w:bookmarkStart w:id="263" w:name="_Toc7819"/>
      <w:bookmarkStart w:id="264" w:name="_Toc249"/>
      <w:bookmarkStart w:id="265" w:name="_Toc21419"/>
      <w:bookmarkStart w:id="266" w:name="_Toc28729"/>
      <w:bookmarkStart w:id="267" w:name="_Toc18134"/>
      <w:r>
        <w:rPr>
          <w:rFonts w:ascii="黑体" w:hAnsi="黑体" w:eastAsia="黑体" w:cs="黑体"/>
          <w:color w:val="auto"/>
          <w:spacing w:val="0"/>
          <w:w w:val="100"/>
          <w:position w:val="0"/>
          <w:sz w:val="28"/>
          <w:szCs w:val="28"/>
          <w:highlight w:val="none"/>
        </w:rPr>
        <w:t>6附则</w:t>
      </w:r>
      <w:bookmarkEnd w:id="261"/>
      <w:bookmarkEnd w:id="262"/>
      <w:bookmarkEnd w:id="263"/>
      <w:bookmarkEnd w:id="264"/>
      <w:bookmarkEnd w:id="265"/>
      <w:bookmarkEnd w:id="266"/>
      <w:bookmarkEnd w:id="267"/>
    </w:p>
    <w:p w14:paraId="7BF3776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268" w:name="bookmark91"/>
      <w:bookmarkEnd w:id="268"/>
      <w:bookmarkStart w:id="269" w:name="_Toc7266"/>
      <w:bookmarkStart w:id="270" w:name="_Toc21547"/>
      <w:r>
        <w:rPr>
          <w:rFonts w:ascii="仿宋" w:hAnsi="仿宋" w:eastAsia="仿宋" w:cs="仿宋"/>
          <w:color w:val="auto"/>
          <w:spacing w:val="0"/>
          <w:w w:val="100"/>
          <w:position w:val="0"/>
          <w:sz w:val="28"/>
          <w:szCs w:val="28"/>
          <w:highlight w:val="none"/>
        </w:rPr>
        <w:t>6.1名词术语</w:t>
      </w:r>
      <w:bookmarkEnd w:id="269"/>
      <w:bookmarkEnd w:id="270"/>
    </w:p>
    <w:p w14:paraId="21ED7FE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1</w:t>
      </w:r>
      <w:r>
        <w:rPr>
          <w:rFonts w:ascii="仿宋" w:hAnsi="仿宋" w:eastAsia="仿宋" w:cs="仿宋"/>
          <w:color w:val="auto"/>
          <w:spacing w:val="0"/>
          <w:w w:val="100"/>
          <w:position w:val="0"/>
          <w:sz w:val="28"/>
          <w:szCs w:val="28"/>
          <w:highlight w:val="none"/>
        </w:rPr>
        <w:t>）集中式地表水饮用水水源地</w:t>
      </w:r>
    </w:p>
    <w:p w14:paraId="09AAC31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指进入输水管网、送到用户且具有一定取水规模（供水人口一般大于</w:t>
      </w:r>
      <w:r>
        <w:rPr>
          <w:rFonts w:ascii="Times New Roman" w:hAnsi="Times New Roman" w:eastAsia="Times New Roman" w:cs="Times New Roman"/>
          <w:color w:val="auto"/>
          <w:spacing w:val="0"/>
          <w:w w:val="100"/>
          <w:position w:val="0"/>
          <w:sz w:val="28"/>
          <w:szCs w:val="28"/>
          <w:highlight w:val="none"/>
        </w:rPr>
        <w:t>1000</w:t>
      </w:r>
      <w:r>
        <w:rPr>
          <w:rFonts w:ascii="仿宋" w:hAnsi="仿宋" w:eastAsia="仿宋" w:cs="仿宋"/>
          <w:color w:val="auto"/>
          <w:spacing w:val="0"/>
          <w:w w:val="100"/>
          <w:position w:val="0"/>
          <w:sz w:val="28"/>
          <w:szCs w:val="28"/>
          <w:highlight w:val="none"/>
        </w:rPr>
        <w:t>人）的在用、备用和规划的地表水饮用水水源地。依据取水口所在水体类型不同，可分为河流型水源地和湖泊（水库）型水源地。</w:t>
      </w:r>
    </w:p>
    <w:p w14:paraId="35C2779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2</w:t>
      </w:r>
      <w:r>
        <w:rPr>
          <w:rFonts w:ascii="仿宋" w:hAnsi="仿宋" w:eastAsia="仿宋" w:cs="仿宋"/>
          <w:color w:val="auto"/>
          <w:spacing w:val="0"/>
          <w:w w:val="100"/>
          <w:position w:val="0"/>
          <w:sz w:val="28"/>
          <w:szCs w:val="28"/>
          <w:highlight w:val="none"/>
        </w:rPr>
        <w:t>）饮用水水源保护区</w:t>
      </w:r>
    </w:p>
    <w:p w14:paraId="1C98991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指国家为防治饮用水水源地污染、保障水源地环境质量而划定，并要求加以特殊保护的一定面积的水域和陆域。饮用水水源保护区（以下简称水源保护区）分为一级保护区和二级保护区，必要时可在水源保护区外划定准保护区。</w:t>
      </w:r>
    </w:p>
    <w:p w14:paraId="795227E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3</w:t>
      </w:r>
      <w:r>
        <w:rPr>
          <w:rFonts w:ascii="仿宋" w:hAnsi="仿宋" w:eastAsia="仿宋" w:cs="仿宋"/>
          <w:color w:val="auto"/>
          <w:spacing w:val="0"/>
          <w:w w:val="100"/>
          <w:position w:val="0"/>
          <w:sz w:val="28"/>
          <w:szCs w:val="28"/>
          <w:highlight w:val="none"/>
        </w:rPr>
        <w:t>）地表水饮用水水源地风险物质</w:t>
      </w:r>
    </w:p>
    <w:p w14:paraId="5CDD71A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指《地表水环境质量标准》中表</w:t>
      </w:r>
      <w:r>
        <w:rPr>
          <w:rFonts w:ascii="Times New Roman" w:hAnsi="Times New Roman" w:eastAsia="Times New Roman" w:cs="Times New Roman"/>
          <w:color w:val="auto"/>
          <w:spacing w:val="0"/>
          <w:w w:val="100"/>
          <w:position w:val="0"/>
          <w:sz w:val="28"/>
          <w:szCs w:val="28"/>
          <w:highlight w:val="none"/>
        </w:rPr>
        <w:t>1</w:t>
      </w:r>
      <w:r>
        <w:rPr>
          <w:rFonts w:ascii="仿宋" w:hAnsi="仿宋" w:eastAsia="仿宋" w:cs="仿宋"/>
          <w:color w:val="auto"/>
          <w:spacing w:val="0"/>
          <w:w w:val="100"/>
          <w:position w:val="0"/>
          <w:sz w:val="28"/>
          <w:szCs w:val="28"/>
          <w:highlight w:val="none"/>
        </w:rPr>
        <w:t>、表</w:t>
      </w:r>
      <w:r>
        <w:rPr>
          <w:rFonts w:ascii="Times New Roman" w:hAnsi="Times New Roman" w:eastAsia="Times New Roman" w:cs="Times New Roman"/>
          <w:color w:val="auto"/>
          <w:spacing w:val="0"/>
          <w:w w:val="100"/>
          <w:position w:val="0"/>
          <w:sz w:val="28"/>
          <w:szCs w:val="28"/>
          <w:highlight w:val="none"/>
        </w:rPr>
        <w:t>2</w:t>
      </w:r>
      <w:r>
        <w:rPr>
          <w:rFonts w:ascii="仿宋" w:hAnsi="仿宋" w:eastAsia="仿宋" w:cs="仿宋"/>
          <w:color w:val="auto"/>
          <w:spacing w:val="0"/>
          <w:w w:val="100"/>
          <w:position w:val="0"/>
          <w:sz w:val="28"/>
          <w:szCs w:val="28"/>
          <w:highlight w:val="none"/>
        </w:rPr>
        <w:t>和表</w:t>
      </w:r>
      <w:r>
        <w:rPr>
          <w:rFonts w:ascii="Times New Roman" w:hAnsi="Times New Roman" w:eastAsia="Times New Roman" w:cs="Times New Roman"/>
          <w:color w:val="auto"/>
          <w:spacing w:val="0"/>
          <w:w w:val="100"/>
          <w:position w:val="0"/>
          <w:sz w:val="28"/>
          <w:szCs w:val="28"/>
          <w:highlight w:val="none"/>
        </w:rPr>
        <w:t>3</w:t>
      </w:r>
      <w:r>
        <w:rPr>
          <w:rFonts w:ascii="仿宋" w:hAnsi="仿宋" w:eastAsia="仿宋" w:cs="仿宋"/>
          <w:color w:val="auto"/>
          <w:spacing w:val="0"/>
          <w:w w:val="100"/>
          <w:position w:val="0"/>
          <w:sz w:val="28"/>
          <w:szCs w:val="28"/>
          <w:highlight w:val="none"/>
        </w:rPr>
        <w:t>所包含的项目与物质，以及该标准之外其他可能影响人体健康的项目与物质。</w:t>
      </w:r>
    </w:p>
    <w:p w14:paraId="71CB66B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4</w:t>
      </w:r>
      <w:r>
        <w:rPr>
          <w:rFonts w:ascii="仿宋" w:hAnsi="仿宋" w:eastAsia="仿宋" w:cs="仿宋"/>
          <w:color w:val="auto"/>
          <w:spacing w:val="0"/>
          <w:w w:val="100"/>
          <w:position w:val="0"/>
          <w:sz w:val="28"/>
          <w:szCs w:val="28"/>
          <w:highlight w:val="none"/>
        </w:rPr>
        <w:t>）危险化学品</w:t>
      </w:r>
    </w:p>
    <w:p w14:paraId="4799171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指具有毒害、腐蚀、爆炸、燃烧、助燃等性质，对人体、设施、环境具有危害的剧毒化学品和其他化学品。</w:t>
      </w:r>
    </w:p>
    <w:p w14:paraId="563616E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5</w:t>
      </w:r>
      <w:r>
        <w:rPr>
          <w:rFonts w:ascii="仿宋" w:hAnsi="仿宋" w:eastAsia="仿宋" w:cs="仿宋"/>
          <w:color w:val="auto"/>
          <w:spacing w:val="0"/>
          <w:w w:val="100"/>
          <w:position w:val="0"/>
          <w:sz w:val="28"/>
          <w:szCs w:val="28"/>
          <w:highlight w:val="none"/>
        </w:rPr>
        <w:t>）饮用水水源地突发环境事件</w:t>
      </w:r>
    </w:p>
    <w:p w14:paraId="14B2D74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指由于污染物排放或自然灾害、生产安全事故、交通运输事故等因素，导致水源地风险物质进入水源保护区或其上游的连接水体，突然造成或可能造成水源地水质超标，影响或可能影响饮用水供水单位正常取水，危及公众身体健康和财产安全，需要采取紧急措施予以应对的</w:t>
      </w:r>
      <w:r>
        <w:rPr>
          <w:rFonts w:hint="eastAsia" w:ascii="仿宋" w:hAnsi="仿宋" w:eastAsia="仿宋" w:cs="仿宋"/>
          <w:color w:val="auto"/>
          <w:spacing w:val="0"/>
          <w:w w:val="100"/>
          <w:position w:val="0"/>
          <w:sz w:val="28"/>
          <w:szCs w:val="28"/>
          <w:highlight w:val="none"/>
          <w:lang w:eastAsia="zh-CN"/>
        </w:rPr>
        <w:t>突发环境事件</w:t>
      </w:r>
      <w:r>
        <w:rPr>
          <w:rFonts w:ascii="仿宋" w:hAnsi="仿宋" w:eastAsia="仿宋" w:cs="仿宋"/>
          <w:color w:val="auto"/>
          <w:spacing w:val="0"/>
          <w:w w:val="100"/>
          <w:position w:val="0"/>
          <w:sz w:val="28"/>
          <w:szCs w:val="28"/>
          <w:highlight w:val="none"/>
        </w:rPr>
        <w:t>。</w:t>
      </w:r>
    </w:p>
    <w:p w14:paraId="37DB24C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6</w:t>
      </w:r>
      <w:r>
        <w:rPr>
          <w:rFonts w:ascii="仿宋" w:hAnsi="仿宋" w:eastAsia="仿宋" w:cs="仿宋"/>
          <w:color w:val="auto"/>
          <w:spacing w:val="0"/>
          <w:w w:val="100"/>
          <w:position w:val="0"/>
          <w:sz w:val="28"/>
          <w:szCs w:val="28"/>
          <w:highlight w:val="none"/>
        </w:rPr>
        <w:t>）水质超标</w:t>
      </w:r>
    </w:p>
    <w:p w14:paraId="2A6A739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指水源地水质超过《地表水环境质量标准》规定的Ⅲ类水质标准或标准</w:t>
      </w:r>
      <w:r>
        <w:rPr>
          <w:rFonts w:hint="eastAsia" w:ascii="仿宋" w:hAnsi="仿宋" w:eastAsia="仿宋" w:cs="仿宋"/>
          <w:color w:val="auto"/>
          <w:spacing w:val="0"/>
          <w:w w:val="100"/>
          <w:position w:val="0"/>
          <w:sz w:val="28"/>
          <w:szCs w:val="28"/>
          <w:highlight w:val="none"/>
          <w:lang w:eastAsia="zh-CN"/>
        </w:rPr>
        <w:t>限值</w:t>
      </w:r>
      <w:r>
        <w:rPr>
          <w:rFonts w:ascii="仿宋" w:hAnsi="仿宋" w:eastAsia="仿宋" w:cs="仿宋"/>
          <w:color w:val="auto"/>
          <w:spacing w:val="0"/>
          <w:w w:val="100"/>
          <w:position w:val="0"/>
          <w:sz w:val="28"/>
          <w:szCs w:val="28"/>
          <w:highlight w:val="none"/>
        </w:rPr>
        <w:t>。</w:t>
      </w:r>
    </w:p>
    <w:p w14:paraId="2638921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地表水环境质量标准》未包括的项目，可根据物质本身的危害特性和有关供水单位的净化能力，参考国外有关标准（如世界卫生组织、美国环境保护署等）规定的浓度值，由区人民政府组织有关部门会商或依据应急专家组意见确定。</w:t>
      </w:r>
    </w:p>
    <w:p w14:paraId="69D5D52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7</w:t>
      </w:r>
      <w:r>
        <w:rPr>
          <w:rFonts w:ascii="仿宋" w:hAnsi="仿宋" w:eastAsia="仿宋" w:cs="仿宋"/>
          <w:color w:val="auto"/>
          <w:spacing w:val="0"/>
          <w:w w:val="100"/>
          <w:position w:val="0"/>
          <w:sz w:val="28"/>
          <w:szCs w:val="28"/>
          <w:highlight w:val="none"/>
        </w:rPr>
        <w:t>）应急处置</w:t>
      </w:r>
    </w:p>
    <w:p w14:paraId="222271C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指对即将发生</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正在发生或已经发生的突发环境事件所采取的</w:t>
      </w:r>
      <w:r>
        <w:rPr>
          <w:rFonts w:hint="eastAsia" w:ascii="仿宋" w:hAnsi="仿宋" w:eastAsia="仿宋" w:cs="仿宋"/>
          <w:color w:val="auto"/>
          <w:spacing w:val="0"/>
          <w:w w:val="100"/>
          <w:position w:val="0"/>
          <w:sz w:val="28"/>
          <w:szCs w:val="28"/>
          <w:highlight w:val="none"/>
          <w:lang w:eastAsia="zh-CN"/>
        </w:rPr>
        <w:t>一系列</w:t>
      </w:r>
      <w:r>
        <w:rPr>
          <w:rFonts w:ascii="仿宋" w:hAnsi="仿宋" w:eastAsia="仿宋" w:cs="仿宋"/>
          <w:color w:val="auto"/>
          <w:spacing w:val="0"/>
          <w:w w:val="100"/>
          <w:position w:val="0"/>
          <w:sz w:val="28"/>
          <w:szCs w:val="28"/>
          <w:highlight w:val="none"/>
        </w:rPr>
        <w:t>应急响应措施。</w:t>
      </w:r>
    </w:p>
    <w:p w14:paraId="59A1CB2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8</w:t>
      </w:r>
      <w:r>
        <w:rPr>
          <w:rFonts w:ascii="仿宋" w:hAnsi="仿宋" w:eastAsia="仿宋" w:cs="仿宋"/>
          <w:color w:val="auto"/>
          <w:spacing w:val="0"/>
          <w:w w:val="100"/>
          <w:position w:val="0"/>
          <w:sz w:val="28"/>
          <w:szCs w:val="28"/>
          <w:highlight w:val="none"/>
        </w:rPr>
        <w:t>）泄漏处理</w:t>
      </w:r>
    </w:p>
    <w:p w14:paraId="59BAF5F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泄漏处理是指对危险化学品、危险废物、放射性物质、有毒气体等污染源因事件发生泄漏</w:t>
      </w:r>
      <w:r>
        <w:rPr>
          <w:rFonts w:hint="eastAsia" w:ascii="仿宋" w:hAnsi="仿宋" w:eastAsia="仿宋" w:cs="仿宋"/>
          <w:color w:val="auto"/>
          <w:spacing w:val="0"/>
          <w:w w:val="100"/>
          <w:position w:val="0"/>
          <w:sz w:val="28"/>
          <w:szCs w:val="28"/>
          <w:highlight w:val="none"/>
          <w:lang w:eastAsia="zh-CN"/>
        </w:rPr>
        <w:t>时</w:t>
      </w:r>
      <w:r>
        <w:rPr>
          <w:rFonts w:ascii="仿宋" w:hAnsi="仿宋" w:eastAsia="仿宋" w:cs="仿宋"/>
          <w:color w:val="auto"/>
          <w:spacing w:val="0"/>
          <w:w w:val="100"/>
          <w:position w:val="0"/>
          <w:sz w:val="28"/>
          <w:szCs w:val="28"/>
          <w:highlight w:val="none"/>
        </w:rPr>
        <w:t>所采取的应急处置措施。泄漏处理要及时、得当，避免重大事件的发生。泄漏处理一般分为泄漏源控制和泄漏物处置两部分。</w:t>
      </w:r>
    </w:p>
    <w:p w14:paraId="0CF0D4B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w:t>
      </w:r>
      <w:r>
        <w:rPr>
          <w:rFonts w:ascii="Times New Roman" w:hAnsi="Times New Roman" w:eastAsia="Times New Roman" w:cs="Times New Roman"/>
          <w:color w:val="auto"/>
          <w:spacing w:val="0"/>
          <w:w w:val="100"/>
          <w:position w:val="0"/>
          <w:sz w:val="28"/>
          <w:szCs w:val="28"/>
          <w:highlight w:val="none"/>
        </w:rPr>
        <w:t>9</w:t>
      </w:r>
      <w:r>
        <w:rPr>
          <w:rFonts w:ascii="仿宋" w:hAnsi="仿宋" w:eastAsia="仿宋" w:cs="仿宋"/>
          <w:color w:val="auto"/>
          <w:spacing w:val="0"/>
          <w:w w:val="100"/>
          <w:position w:val="0"/>
          <w:sz w:val="28"/>
          <w:szCs w:val="28"/>
          <w:highlight w:val="none"/>
        </w:rPr>
        <w:t>）应急监测</w:t>
      </w:r>
    </w:p>
    <w:p w14:paraId="15E4EF5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环境应急情况下，为发现和查明环境污染情况和污染范围而进行的环境监测。包括定点监测和动态监测。</w:t>
      </w:r>
    </w:p>
    <w:p w14:paraId="6A3BA5A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271" w:name="bookmark92"/>
      <w:bookmarkEnd w:id="271"/>
      <w:bookmarkStart w:id="272" w:name="_Toc10531"/>
      <w:bookmarkStart w:id="273" w:name="_Toc7061"/>
      <w:bookmarkStart w:id="274" w:name="_Toc2726"/>
      <w:bookmarkStart w:id="275" w:name="_Toc20329"/>
      <w:bookmarkStart w:id="276" w:name="_Toc16010"/>
      <w:bookmarkStart w:id="277" w:name="_Toc12028"/>
      <w:bookmarkStart w:id="278" w:name="_Toc29204"/>
      <w:r>
        <w:rPr>
          <w:rFonts w:ascii="楷体" w:hAnsi="楷体" w:eastAsia="楷体" w:cs="楷体"/>
          <w:color w:val="auto"/>
          <w:spacing w:val="0"/>
          <w:w w:val="100"/>
          <w:position w:val="0"/>
          <w:sz w:val="28"/>
          <w:szCs w:val="28"/>
          <w:highlight w:val="none"/>
        </w:rPr>
        <w:t>6.</w:t>
      </w:r>
      <w:r>
        <w:rPr>
          <w:rFonts w:hint="eastAsia" w:ascii="楷体" w:hAnsi="楷体" w:eastAsia="楷体" w:cs="楷体"/>
          <w:color w:val="auto"/>
          <w:spacing w:val="0"/>
          <w:w w:val="100"/>
          <w:position w:val="0"/>
          <w:sz w:val="28"/>
          <w:szCs w:val="28"/>
          <w:highlight w:val="none"/>
          <w:lang w:val="en-US" w:eastAsia="zh-CN"/>
        </w:rPr>
        <w:t>2</w:t>
      </w:r>
      <w:r>
        <w:rPr>
          <w:rFonts w:ascii="楷体" w:hAnsi="楷体" w:eastAsia="楷体" w:cs="楷体"/>
          <w:color w:val="auto"/>
          <w:spacing w:val="0"/>
          <w:w w:val="100"/>
          <w:position w:val="0"/>
          <w:sz w:val="28"/>
          <w:szCs w:val="28"/>
          <w:highlight w:val="none"/>
        </w:rPr>
        <w:t>预案演练和修订</w:t>
      </w:r>
      <w:bookmarkEnd w:id="272"/>
      <w:bookmarkEnd w:id="273"/>
      <w:bookmarkEnd w:id="274"/>
      <w:bookmarkEnd w:id="275"/>
      <w:bookmarkEnd w:id="276"/>
      <w:bookmarkEnd w:id="277"/>
      <w:bookmarkEnd w:id="278"/>
    </w:p>
    <w:p w14:paraId="1687254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279" w:name="bookmark93"/>
      <w:bookmarkEnd w:id="279"/>
      <w:bookmarkStart w:id="280" w:name="_Toc9374"/>
      <w:bookmarkStart w:id="281" w:name="_Toc31041"/>
      <w:r>
        <w:rPr>
          <w:rFonts w:ascii="仿宋" w:hAnsi="仿宋" w:eastAsia="仿宋" w:cs="仿宋"/>
          <w:color w:val="auto"/>
          <w:spacing w:val="0"/>
          <w:w w:val="100"/>
          <w:position w:val="0"/>
          <w:sz w:val="28"/>
          <w:szCs w:val="28"/>
          <w:highlight w:val="none"/>
        </w:rPr>
        <w:t>6.</w:t>
      </w:r>
      <w:r>
        <w:rPr>
          <w:rFonts w:hint="eastAsia" w:ascii="仿宋" w:hAnsi="仿宋" w:eastAsia="仿宋" w:cs="仿宋"/>
          <w:color w:val="auto"/>
          <w:spacing w:val="0"/>
          <w:w w:val="100"/>
          <w:position w:val="0"/>
          <w:sz w:val="28"/>
          <w:szCs w:val="28"/>
          <w:highlight w:val="none"/>
          <w:lang w:val="en-US" w:eastAsia="zh-CN"/>
        </w:rPr>
        <w:t>2</w:t>
      </w:r>
      <w:r>
        <w:rPr>
          <w:rFonts w:ascii="仿宋" w:hAnsi="仿宋" w:eastAsia="仿宋" w:cs="仿宋"/>
          <w:color w:val="auto"/>
          <w:spacing w:val="0"/>
          <w:w w:val="100"/>
          <w:position w:val="0"/>
          <w:sz w:val="28"/>
          <w:szCs w:val="28"/>
          <w:highlight w:val="none"/>
        </w:rPr>
        <w:t>.1预案演练</w:t>
      </w:r>
      <w:bookmarkEnd w:id="280"/>
      <w:bookmarkEnd w:id="281"/>
    </w:p>
    <w:p w14:paraId="0F9F24C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区指挥部应按照本预案，定期组织相关人员进行应急预案演练。区指办应对演练情况予以记录，并妥善保存备查。</w:t>
      </w:r>
    </w:p>
    <w:p w14:paraId="346AFCE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演练结束后，区指挥部应对演练情况进行总结评估，并根据演练结果及时修订完善。评估的内容应包括：演练的执行情况，预案的合理性与可操作性，指挥协调和应急联动情况，应急人员的处置情况，演练所用设备装备的适用性，对完善预案、应急准备、应急机制、应急措施等方面的意见和建议等。</w:t>
      </w:r>
    </w:p>
    <w:p w14:paraId="4CA1969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2"/>
        <w:rPr>
          <w:rFonts w:ascii="仿宋" w:hAnsi="仿宋" w:eastAsia="仿宋" w:cs="仿宋"/>
          <w:color w:val="auto"/>
          <w:spacing w:val="0"/>
          <w:w w:val="100"/>
          <w:position w:val="0"/>
          <w:sz w:val="28"/>
          <w:szCs w:val="28"/>
          <w:highlight w:val="none"/>
        </w:rPr>
      </w:pPr>
      <w:bookmarkStart w:id="282" w:name="bookmark94"/>
      <w:bookmarkEnd w:id="282"/>
      <w:bookmarkStart w:id="283" w:name="_Toc15951"/>
      <w:bookmarkStart w:id="284" w:name="_Toc11213"/>
      <w:r>
        <w:rPr>
          <w:rFonts w:ascii="仿宋" w:hAnsi="仿宋" w:eastAsia="仿宋" w:cs="仿宋"/>
          <w:color w:val="auto"/>
          <w:spacing w:val="0"/>
          <w:w w:val="100"/>
          <w:position w:val="0"/>
          <w:sz w:val="28"/>
          <w:szCs w:val="28"/>
          <w:highlight w:val="none"/>
        </w:rPr>
        <w:t>6.</w:t>
      </w:r>
      <w:r>
        <w:rPr>
          <w:rFonts w:hint="eastAsia" w:ascii="仿宋" w:hAnsi="仿宋" w:eastAsia="仿宋" w:cs="仿宋"/>
          <w:color w:val="auto"/>
          <w:spacing w:val="0"/>
          <w:w w:val="100"/>
          <w:position w:val="0"/>
          <w:sz w:val="28"/>
          <w:szCs w:val="28"/>
          <w:highlight w:val="none"/>
          <w:lang w:val="en-US" w:eastAsia="zh-CN"/>
        </w:rPr>
        <w:t>2</w:t>
      </w:r>
      <w:r>
        <w:rPr>
          <w:rFonts w:ascii="仿宋" w:hAnsi="仿宋" w:eastAsia="仿宋" w:cs="仿宋"/>
          <w:color w:val="auto"/>
          <w:spacing w:val="0"/>
          <w:w w:val="100"/>
          <w:position w:val="0"/>
          <w:sz w:val="28"/>
          <w:szCs w:val="28"/>
          <w:highlight w:val="none"/>
        </w:rPr>
        <w:t>.2应急预案修订</w:t>
      </w:r>
      <w:bookmarkEnd w:id="283"/>
      <w:bookmarkEnd w:id="284"/>
    </w:p>
    <w:p w14:paraId="5F2E235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本预案每三年进行一次评估，必要时进行修订。当环境应急管理的政策法规发生重大变化或成员单位职责、应急资源发生变化，或者应急过程中发现存在问题和出现新的情况，根据情况对本预案进行修订。</w:t>
      </w:r>
    </w:p>
    <w:p w14:paraId="0E455C9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本预案由区指办负责管理、修订、完善。</w:t>
      </w:r>
    </w:p>
    <w:p w14:paraId="4952515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1"/>
        <w:rPr>
          <w:rFonts w:ascii="楷体" w:hAnsi="楷体" w:eastAsia="楷体" w:cs="楷体"/>
          <w:color w:val="auto"/>
          <w:spacing w:val="0"/>
          <w:w w:val="100"/>
          <w:position w:val="0"/>
          <w:sz w:val="28"/>
          <w:szCs w:val="28"/>
          <w:highlight w:val="none"/>
        </w:rPr>
      </w:pPr>
      <w:bookmarkStart w:id="285" w:name="_Toc15269"/>
      <w:bookmarkStart w:id="286" w:name="_Toc14530"/>
      <w:bookmarkStart w:id="287" w:name="_Toc30101"/>
      <w:bookmarkStart w:id="288" w:name="_Toc25469"/>
      <w:bookmarkStart w:id="289" w:name="_Toc8905"/>
      <w:bookmarkStart w:id="290" w:name="_Toc705"/>
      <w:bookmarkStart w:id="291" w:name="_Toc17034"/>
      <w:r>
        <w:rPr>
          <w:rFonts w:ascii="楷体" w:hAnsi="楷体" w:eastAsia="楷体" w:cs="楷体"/>
          <w:color w:val="auto"/>
          <w:spacing w:val="0"/>
          <w:w w:val="100"/>
          <w:position w:val="0"/>
          <w:sz w:val="28"/>
          <w:szCs w:val="28"/>
          <w:highlight w:val="none"/>
        </w:rPr>
        <w:t>6.</w:t>
      </w:r>
      <w:r>
        <w:rPr>
          <w:rFonts w:hint="eastAsia" w:ascii="楷体" w:hAnsi="楷体" w:eastAsia="楷体" w:cs="楷体"/>
          <w:color w:val="auto"/>
          <w:spacing w:val="0"/>
          <w:w w:val="100"/>
          <w:position w:val="0"/>
          <w:sz w:val="28"/>
          <w:szCs w:val="28"/>
          <w:highlight w:val="none"/>
          <w:lang w:val="en-US" w:eastAsia="zh-CN"/>
        </w:rPr>
        <w:t>3</w:t>
      </w:r>
      <w:r>
        <w:rPr>
          <w:rFonts w:ascii="楷体" w:hAnsi="楷体" w:eastAsia="楷体" w:cs="楷体"/>
          <w:color w:val="auto"/>
          <w:spacing w:val="0"/>
          <w:w w:val="100"/>
          <w:position w:val="0"/>
          <w:sz w:val="28"/>
          <w:szCs w:val="28"/>
          <w:highlight w:val="none"/>
        </w:rPr>
        <w:t>预案实施日期</w:t>
      </w:r>
      <w:bookmarkEnd w:id="285"/>
      <w:bookmarkEnd w:id="286"/>
      <w:bookmarkEnd w:id="287"/>
      <w:bookmarkEnd w:id="288"/>
      <w:bookmarkEnd w:id="289"/>
      <w:bookmarkEnd w:id="290"/>
      <w:bookmarkEnd w:id="291"/>
    </w:p>
    <w:p w14:paraId="7C1B8C3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本预案自发布之日起施行。</w:t>
      </w:r>
    </w:p>
    <w:p w14:paraId="351D429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outlineLvl w:val="0"/>
        <w:rPr>
          <w:rFonts w:ascii="黑体" w:hAnsi="黑体" w:eastAsia="黑体" w:cs="黑体"/>
          <w:color w:val="auto"/>
          <w:spacing w:val="0"/>
          <w:w w:val="100"/>
          <w:position w:val="0"/>
          <w:sz w:val="28"/>
          <w:szCs w:val="28"/>
          <w:highlight w:val="none"/>
        </w:rPr>
      </w:pPr>
      <w:bookmarkStart w:id="292" w:name="_Toc27695"/>
      <w:bookmarkStart w:id="293" w:name="_Toc30185"/>
      <w:bookmarkStart w:id="294" w:name="_Toc1998"/>
      <w:bookmarkStart w:id="295" w:name="_Toc14434"/>
      <w:bookmarkStart w:id="296" w:name="_Toc31447"/>
      <w:r>
        <w:rPr>
          <w:rFonts w:ascii="黑体" w:hAnsi="黑体" w:eastAsia="黑体" w:cs="黑体"/>
          <w:color w:val="auto"/>
          <w:spacing w:val="0"/>
          <w:w w:val="100"/>
          <w:position w:val="0"/>
          <w:sz w:val="28"/>
          <w:szCs w:val="28"/>
          <w:highlight w:val="none"/>
        </w:rPr>
        <w:t>7附表</w:t>
      </w:r>
      <w:bookmarkEnd w:id="292"/>
      <w:bookmarkEnd w:id="293"/>
      <w:bookmarkEnd w:id="294"/>
      <w:bookmarkEnd w:id="295"/>
      <w:bookmarkEnd w:id="296"/>
    </w:p>
    <w:p w14:paraId="1155068B">
      <w:pPr>
        <w:keepNext w:val="0"/>
        <w:keepLines w:val="0"/>
        <w:pageBreakBefore w:val="0"/>
        <w:widowControl/>
        <w:kinsoku/>
        <w:wordWrap/>
        <w:overflowPunct/>
        <w:topLinePunct w:val="0"/>
        <w:autoSpaceDE w:val="0"/>
        <w:autoSpaceDN w:val="0"/>
        <w:bidi w:val="0"/>
        <w:adjustRightInd w:val="0"/>
        <w:snapToGrid w:val="0"/>
        <w:spacing w:line="360" w:lineRule="auto"/>
        <w:ind w:left="0" w:firstLine="560" w:firstLineChars="200"/>
        <w:textAlignment w:val="baseline"/>
        <w:outlineLvl w:val="1"/>
        <w:rPr>
          <w:rFonts w:ascii="楷体" w:hAnsi="楷体" w:eastAsia="楷体" w:cs="楷体"/>
          <w:color w:val="auto"/>
          <w:spacing w:val="0"/>
          <w:w w:val="100"/>
          <w:position w:val="0"/>
          <w:sz w:val="28"/>
          <w:szCs w:val="28"/>
          <w:highlight w:val="none"/>
        </w:rPr>
      </w:pPr>
      <w:bookmarkStart w:id="297" w:name="bookmark95"/>
      <w:bookmarkEnd w:id="297"/>
      <w:bookmarkStart w:id="298" w:name="_Toc9966"/>
      <w:bookmarkStart w:id="299" w:name="_Toc4697"/>
      <w:bookmarkStart w:id="300" w:name="_Toc9600"/>
      <w:bookmarkStart w:id="301" w:name="_Toc9492"/>
      <w:bookmarkStart w:id="302" w:name="_Toc30856"/>
      <w:bookmarkStart w:id="303" w:name="_Toc21544"/>
      <w:bookmarkStart w:id="304" w:name="_Toc18939"/>
      <w:r>
        <w:rPr>
          <w:rFonts w:ascii="楷体" w:hAnsi="楷体" w:eastAsia="楷体" w:cs="楷体"/>
          <w:color w:val="auto"/>
          <w:spacing w:val="0"/>
          <w:w w:val="100"/>
          <w:position w:val="0"/>
          <w:sz w:val="28"/>
          <w:szCs w:val="28"/>
          <w:highlight w:val="none"/>
        </w:rPr>
        <w:t>7.1应急组织机构和职责</w:t>
      </w:r>
      <w:bookmarkEnd w:id="298"/>
      <w:bookmarkEnd w:id="299"/>
      <w:bookmarkEnd w:id="300"/>
      <w:bookmarkEnd w:id="301"/>
      <w:bookmarkEnd w:id="302"/>
      <w:bookmarkEnd w:id="303"/>
      <w:bookmarkEnd w:id="304"/>
    </w:p>
    <w:p w14:paraId="69F45E4D">
      <w:pPr>
        <w:keepNext w:val="0"/>
        <w:keepLines w:val="0"/>
        <w:pageBreakBefore w:val="0"/>
        <w:widowControl/>
        <w:kinsoku/>
        <w:wordWrap/>
        <w:overflowPunct/>
        <w:topLinePunct w:val="0"/>
        <w:autoSpaceDE w:val="0"/>
        <w:autoSpaceDN w:val="0"/>
        <w:bidi w:val="0"/>
        <w:adjustRightInd w:val="0"/>
        <w:snapToGrid w:val="0"/>
        <w:spacing w:line="360" w:lineRule="auto"/>
        <w:ind w:left="0"/>
        <w:jc w:val="center"/>
        <w:textAlignment w:val="baseline"/>
        <w:rPr>
          <w:rFonts w:ascii="仿宋_GB2312" w:hAnsi="仿宋_GB2312" w:eastAsia="仿宋_GB2312" w:cs="仿宋_GB2312"/>
          <w:color w:val="auto"/>
          <w:spacing w:val="0"/>
          <w:w w:val="100"/>
          <w:position w:val="0"/>
          <w:sz w:val="28"/>
          <w:szCs w:val="28"/>
          <w:highlight w:val="none"/>
        </w:rPr>
      </w:pPr>
      <w:r>
        <w:rPr>
          <w:rFonts w:ascii="仿宋_GB2312" w:hAnsi="仿宋_GB2312" w:eastAsia="仿宋_GB2312" w:cs="仿宋_GB2312"/>
          <w:color w:val="auto"/>
          <w:spacing w:val="0"/>
          <w:w w:val="100"/>
          <w:position w:val="0"/>
          <w:sz w:val="28"/>
          <w:szCs w:val="28"/>
          <w:highlight w:val="none"/>
        </w:rPr>
        <w:t>表</w:t>
      </w:r>
      <w:r>
        <w:rPr>
          <w:rFonts w:ascii="Times New Roman" w:hAnsi="Times New Roman" w:eastAsia="Times New Roman" w:cs="Times New Roman"/>
          <w:color w:val="auto"/>
          <w:spacing w:val="0"/>
          <w:w w:val="100"/>
          <w:position w:val="0"/>
          <w:sz w:val="28"/>
          <w:szCs w:val="28"/>
          <w:highlight w:val="none"/>
        </w:rPr>
        <w:t>1</w:t>
      </w:r>
      <w:r>
        <w:rPr>
          <w:rFonts w:ascii="仿宋_GB2312" w:hAnsi="仿宋_GB2312" w:eastAsia="仿宋_GB2312" w:cs="仿宋_GB2312"/>
          <w:color w:val="auto"/>
          <w:spacing w:val="0"/>
          <w:w w:val="100"/>
          <w:position w:val="0"/>
          <w:sz w:val="28"/>
          <w:szCs w:val="28"/>
          <w:highlight w:val="none"/>
        </w:rPr>
        <w:t>乌翠区应急组织机构和职责</w:t>
      </w:r>
    </w:p>
    <w:p w14:paraId="2C8C3424">
      <w:pPr>
        <w:keepNext w:val="0"/>
        <w:keepLines w:val="0"/>
        <w:pageBreakBefore w:val="0"/>
        <w:widowControl/>
        <w:kinsoku/>
        <w:wordWrap/>
        <w:overflowPunct/>
        <w:topLinePunct w:val="0"/>
        <w:autoSpaceDE w:val="0"/>
        <w:autoSpaceDN w:val="0"/>
        <w:bidi w:val="0"/>
        <w:adjustRightInd w:val="0"/>
        <w:snapToGrid w:val="0"/>
        <w:spacing w:line="96" w:lineRule="auto"/>
        <w:rPr>
          <w:rFonts w:ascii="Arial"/>
          <w:color w:val="auto"/>
          <w:spacing w:val="0"/>
          <w:w w:val="100"/>
          <w:position w:val="0"/>
          <w:sz w:val="2"/>
          <w:highlight w:val="none"/>
        </w:rPr>
      </w:pPr>
    </w:p>
    <w:tbl>
      <w:tblPr>
        <w:tblStyle w:val="10"/>
        <w:tblW w:w="4997" w:type="pc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73"/>
        <w:gridCol w:w="1343"/>
        <w:gridCol w:w="1596"/>
        <w:gridCol w:w="912"/>
        <w:gridCol w:w="1978"/>
        <w:gridCol w:w="2149"/>
      </w:tblGrid>
      <w:tr w14:paraId="24FAF1F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55" w:hRule="atLeast"/>
        </w:trPr>
        <w:tc>
          <w:tcPr>
            <w:tcW w:w="1251" w:type="pct"/>
            <w:gridSpan w:val="2"/>
            <w:tcBorders>
              <w:tl2br w:val="nil"/>
              <w:tr2bl w:val="nil"/>
            </w:tcBorders>
            <w:shd w:val="clear" w:color="auto" w:fill="auto"/>
            <w:vAlign w:val="center"/>
          </w:tcPr>
          <w:p w14:paraId="65BEB4BD">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应急组织指挥机构组成</w:t>
            </w:r>
          </w:p>
        </w:tc>
        <w:tc>
          <w:tcPr>
            <w:tcW w:w="901" w:type="pct"/>
            <w:tcBorders>
              <w:tl2br w:val="nil"/>
              <w:tr2bl w:val="nil"/>
            </w:tcBorders>
            <w:shd w:val="clear" w:color="auto" w:fill="auto"/>
            <w:vAlign w:val="center"/>
          </w:tcPr>
          <w:p w14:paraId="4AF516B8">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主要负责人和联系电话</w:t>
            </w:r>
          </w:p>
        </w:tc>
        <w:tc>
          <w:tcPr>
            <w:tcW w:w="515" w:type="pct"/>
            <w:tcBorders>
              <w:tl2br w:val="nil"/>
              <w:tr2bl w:val="nil"/>
            </w:tcBorders>
            <w:shd w:val="clear" w:color="auto" w:fill="auto"/>
            <w:vAlign w:val="center"/>
          </w:tcPr>
          <w:p w14:paraId="76751C7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日常职位</w:t>
            </w:r>
          </w:p>
        </w:tc>
        <w:tc>
          <w:tcPr>
            <w:tcW w:w="1117" w:type="pct"/>
            <w:tcBorders>
              <w:tl2br w:val="nil"/>
              <w:tr2bl w:val="nil"/>
            </w:tcBorders>
            <w:shd w:val="clear" w:color="auto" w:fill="auto"/>
            <w:vAlign w:val="center"/>
          </w:tcPr>
          <w:p w14:paraId="03EFD6D8">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日常职责</w:t>
            </w:r>
          </w:p>
        </w:tc>
        <w:tc>
          <w:tcPr>
            <w:tcW w:w="1213" w:type="pct"/>
            <w:tcBorders>
              <w:tl2br w:val="nil"/>
              <w:tr2bl w:val="nil"/>
            </w:tcBorders>
            <w:shd w:val="clear" w:color="auto" w:fill="auto"/>
            <w:vAlign w:val="center"/>
          </w:tcPr>
          <w:p w14:paraId="4C0C1398">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应急职责</w:t>
            </w:r>
          </w:p>
        </w:tc>
      </w:tr>
      <w:tr w14:paraId="164FED3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25" w:hRule="atLeast"/>
        </w:trPr>
        <w:tc>
          <w:tcPr>
            <w:tcW w:w="493" w:type="pct"/>
            <w:tcBorders>
              <w:tl2br w:val="nil"/>
              <w:tr2bl w:val="nil"/>
            </w:tcBorders>
            <w:shd w:val="clear" w:color="auto" w:fill="auto"/>
            <w:vAlign w:val="center"/>
          </w:tcPr>
          <w:p w14:paraId="6974CCDC">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总指挥</w:t>
            </w:r>
          </w:p>
        </w:tc>
        <w:tc>
          <w:tcPr>
            <w:tcW w:w="758" w:type="pct"/>
            <w:tcBorders>
              <w:tl2br w:val="nil"/>
              <w:tr2bl w:val="nil"/>
            </w:tcBorders>
            <w:shd w:val="clear" w:color="auto" w:fill="auto"/>
            <w:vAlign w:val="center"/>
          </w:tcPr>
          <w:p w14:paraId="1A0340B2">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分管应急和生态环境工作的副区长</w:t>
            </w:r>
          </w:p>
        </w:tc>
        <w:tc>
          <w:tcPr>
            <w:tcW w:w="901" w:type="pct"/>
            <w:tcBorders>
              <w:tl2br w:val="nil"/>
              <w:tr2bl w:val="nil"/>
            </w:tcBorders>
            <w:shd w:val="clear" w:color="auto" w:fill="auto"/>
            <w:vAlign w:val="center"/>
          </w:tcPr>
          <w:p w14:paraId="4986AE7E">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王  亮15636400088</w:t>
            </w:r>
          </w:p>
        </w:tc>
        <w:tc>
          <w:tcPr>
            <w:tcW w:w="515" w:type="pct"/>
            <w:tcBorders>
              <w:tl2br w:val="nil"/>
              <w:tr2bl w:val="nil"/>
            </w:tcBorders>
            <w:shd w:val="clear" w:color="auto" w:fill="auto"/>
            <w:vAlign w:val="center"/>
          </w:tcPr>
          <w:p w14:paraId="663E3B34">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政府副区长</w:t>
            </w:r>
          </w:p>
        </w:tc>
        <w:tc>
          <w:tcPr>
            <w:tcW w:w="1117" w:type="pct"/>
            <w:tcBorders>
              <w:tl2br w:val="nil"/>
              <w:tr2bl w:val="nil"/>
            </w:tcBorders>
            <w:shd w:val="clear" w:color="auto" w:fill="auto"/>
            <w:vAlign w:val="center"/>
          </w:tcPr>
          <w:p w14:paraId="5B499AC5">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Fonts w:hint="eastAsia" w:ascii="仿宋" w:hAnsi="仿宋" w:eastAsia="仿宋" w:cs="仿宋"/>
                <w:i w:val="0"/>
                <w:iCs w:val="0"/>
                <w:color w:val="auto"/>
                <w:kern w:val="2"/>
                <w:sz w:val="24"/>
                <w:szCs w:val="24"/>
                <w:highlight w:val="none"/>
                <w:lang w:val="en-US" w:eastAsia="zh-CN" w:bidi="ar"/>
              </w:rPr>
              <w:t>（1）</w:t>
            </w:r>
            <w:r>
              <w:rPr>
                <w:rStyle w:val="15"/>
                <w:rFonts w:hint="eastAsia" w:ascii="仿宋" w:hAnsi="仿宋" w:eastAsia="仿宋" w:cs="仿宋"/>
                <w:color w:val="auto"/>
                <w:sz w:val="24"/>
                <w:szCs w:val="24"/>
                <w:highlight w:val="none"/>
                <w:lang w:val="en-US" w:eastAsia="zh-CN" w:bidi="ar"/>
              </w:rPr>
              <w:t>贯彻执行国家、地方人民政府及有关部门关于水源地突发环境事件的各项要求；</w:t>
            </w:r>
          </w:p>
          <w:p w14:paraId="75F653FD">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ind w:left="0" w:leftChars="0" w:firstLine="0" w:firstLineChars="0"/>
              <w:jc w:val="center"/>
              <w:textAlignment w:val="center"/>
              <w:rPr>
                <w:rStyle w:val="15"/>
                <w:rFonts w:hint="eastAsia" w:ascii="仿宋" w:hAnsi="仿宋" w:eastAsia="仿宋" w:cs="仿宋"/>
                <w:color w:val="auto"/>
                <w:sz w:val="24"/>
                <w:szCs w:val="24"/>
                <w:highlight w:val="none"/>
                <w:lang w:val="en-US" w:eastAsia="zh-CN" w:bidi="ar"/>
              </w:rPr>
            </w:pPr>
            <w:r>
              <w:rPr>
                <w:rFonts w:hint="eastAsia" w:ascii="仿宋" w:hAnsi="仿宋" w:eastAsia="仿宋" w:cs="仿宋"/>
                <w:i w:val="0"/>
                <w:iCs w:val="0"/>
                <w:color w:val="auto"/>
                <w:kern w:val="2"/>
                <w:sz w:val="24"/>
                <w:szCs w:val="24"/>
                <w:highlight w:val="none"/>
                <w:lang w:val="en-US" w:eastAsia="zh-CN" w:bidi="ar"/>
              </w:rPr>
              <w:t>（2）</w:t>
            </w:r>
            <w:r>
              <w:rPr>
                <w:rStyle w:val="15"/>
                <w:rFonts w:hint="eastAsia" w:ascii="仿宋" w:hAnsi="仿宋" w:eastAsia="仿宋" w:cs="仿宋"/>
                <w:color w:val="auto"/>
                <w:sz w:val="24"/>
                <w:szCs w:val="24"/>
                <w:highlight w:val="none"/>
                <w:lang w:val="en-US" w:eastAsia="zh-CN" w:bidi="ar"/>
              </w:rPr>
              <w:t>组织编制、修订和批准水源地应急预案；（3）指导加强水源地突发环境事件应急管理体系建设；</w:t>
            </w:r>
          </w:p>
          <w:p w14:paraId="78376CAA">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ind w:leftChars="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（4）协调保障水源地突发环境事件应急管理工作经费。</w:t>
            </w:r>
          </w:p>
        </w:tc>
        <w:tc>
          <w:tcPr>
            <w:tcW w:w="1213" w:type="pct"/>
            <w:tcBorders>
              <w:tl2br w:val="nil"/>
              <w:tr2bl w:val="nil"/>
            </w:tcBorders>
            <w:shd w:val="clear" w:color="auto" w:fill="auto"/>
            <w:vAlign w:val="center"/>
          </w:tcPr>
          <w:p w14:paraId="030EE26B">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（1）发生水源地突发环境事件时，亲自赶赴现场进行指挥，组织开展现场应急处置；</w:t>
            </w:r>
          </w:p>
          <w:p w14:paraId="6366A865">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（2）贯彻执行当地或上级人民政府及有关部门的应急指令；</w:t>
            </w:r>
          </w:p>
          <w:p w14:paraId="12639F6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（3）按照预警、应急启动或终止条件，决定预案的启动或终止；</w:t>
            </w:r>
          </w:p>
          <w:p w14:paraId="3068F141">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（4）研判突发环境事件发展态势，组织制定并批准现场处置方案；</w:t>
            </w:r>
          </w:p>
          <w:p w14:paraId="4DB77106">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（5）组织开展损害评估等后期工作。</w:t>
            </w:r>
          </w:p>
        </w:tc>
      </w:tr>
      <w:tr w14:paraId="3E4D5B4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25" w:hRule="atLeast"/>
        </w:trPr>
        <w:tc>
          <w:tcPr>
            <w:tcW w:w="493" w:type="pct"/>
            <w:tcBorders>
              <w:tl2br w:val="nil"/>
              <w:tr2bl w:val="nil"/>
            </w:tcBorders>
            <w:shd w:val="clear" w:color="auto" w:fill="auto"/>
            <w:vAlign w:val="center"/>
          </w:tcPr>
          <w:p w14:paraId="178E0F77">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副总指挥</w:t>
            </w:r>
          </w:p>
        </w:tc>
        <w:tc>
          <w:tcPr>
            <w:tcW w:w="758" w:type="pct"/>
            <w:tcBorders>
              <w:tl2br w:val="nil"/>
              <w:tr2bl w:val="nil"/>
            </w:tcBorders>
            <w:shd w:val="clear" w:color="auto" w:fill="auto"/>
            <w:vAlign w:val="center"/>
          </w:tcPr>
          <w:p w14:paraId="7045EA5F">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应急管理部门主要负责人和生态环境局主要负责人</w:t>
            </w:r>
          </w:p>
        </w:tc>
        <w:tc>
          <w:tcPr>
            <w:tcW w:w="901" w:type="pct"/>
            <w:tcBorders>
              <w:tl2br w:val="nil"/>
              <w:tr2bl w:val="nil"/>
            </w:tcBorders>
            <w:shd w:val="clear" w:color="auto" w:fill="auto"/>
            <w:vAlign w:val="center"/>
          </w:tcPr>
          <w:p w14:paraId="6792959F">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王力齐13845857168</w:t>
            </w:r>
            <w:r>
              <w:rPr>
                <w:rStyle w:val="15"/>
                <w:rFonts w:hint="eastAsia" w:ascii="仿宋" w:hAnsi="仿宋" w:eastAsia="仿宋" w:cs="仿宋"/>
                <w:color w:val="auto"/>
                <w:sz w:val="24"/>
                <w:szCs w:val="24"/>
                <w:highlight w:val="none"/>
                <w:lang w:val="en-US" w:eastAsia="zh-CN" w:bidi="ar"/>
              </w:rPr>
              <w:t>李海钰</w:t>
            </w:r>
            <w:r>
              <w:rPr>
                <w:rStyle w:val="15"/>
                <w:rFonts w:hint="default" w:ascii="仿宋" w:hAnsi="仿宋" w:eastAsia="仿宋" w:cs="仿宋"/>
                <w:color w:val="auto"/>
                <w:sz w:val="24"/>
                <w:szCs w:val="24"/>
                <w:highlight w:val="none"/>
                <w:lang w:val="en-US" w:eastAsia="zh-CN" w:bidi="ar"/>
              </w:rPr>
              <w:t>138</w:t>
            </w:r>
            <w:r>
              <w:rPr>
                <w:rStyle w:val="15"/>
                <w:rFonts w:hint="eastAsia" w:ascii="仿宋" w:hAnsi="仿宋" w:eastAsia="仿宋" w:cs="仿宋"/>
                <w:color w:val="auto"/>
                <w:sz w:val="24"/>
                <w:szCs w:val="24"/>
                <w:highlight w:val="none"/>
                <w:lang w:val="en-US" w:eastAsia="zh-CN" w:bidi="ar"/>
              </w:rPr>
              <w:t>46670894</w:t>
            </w:r>
          </w:p>
        </w:tc>
        <w:tc>
          <w:tcPr>
            <w:tcW w:w="515" w:type="pct"/>
            <w:tcBorders>
              <w:tl2br w:val="nil"/>
              <w:tr2bl w:val="nil"/>
            </w:tcBorders>
            <w:shd w:val="clear" w:color="auto" w:fill="auto"/>
            <w:vAlign w:val="center"/>
          </w:tcPr>
          <w:p w14:paraId="58AD18DD">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应急管理局局长、生态环境局局长</w:t>
            </w:r>
          </w:p>
        </w:tc>
        <w:tc>
          <w:tcPr>
            <w:tcW w:w="1117" w:type="pct"/>
            <w:tcBorders>
              <w:tl2br w:val="nil"/>
              <w:tr2bl w:val="nil"/>
            </w:tcBorders>
            <w:shd w:val="clear" w:color="auto" w:fill="auto"/>
            <w:vAlign w:val="center"/>
          </w:tcPr>
          <w:p w14:paraId="76453EB8">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Fonts w:hint="eastAsia" w:ascii="仿宋" w:hAnsi="仿宋" w:eastAsia="仿宋" w:cs="仿宋"/>
                <w:i w:val="0"/>
                <w:iCs w:val="0"/>
                <w:color w:val="auto"/>
                <w:kern w:val="2"/>
                <w:sz w:val="24"/>
                <w:szCs w:val="24"/>
                <w:highlight w:val="none"/>
                <w:lang w:val="en-US" w:eastAsia="zh-CN" w:bidi="ar"/>
              </w:rPr>
              <w:t>（1）</w:t>
            </w:r>
            <w:r>
              <w:rPr>
                <w:rStyle w:val="15"/>
                <w:rFonts w:hint="eastAsia" w:ascii="仿宋" w:hAnsi="仿宋" w:eastAsia="仿宋" w:cs="仿宋"/>
                <w:color w:val="auto"/>
                <w:sz w:val="24"/>
                <w:szCs w:val="24"/>
                <w:highlight w:val="none"/>
                <w:lang w:val="en-US" w:eastAsia="zh-CN" w:bidi="ar"/>
              </w:rPr>
              <w:t>协助总指挥开展有关工作；（2）组织指导预案培训和演练、应急救援、队伍建设和能力评估等工作；</w:t>
            </w:r>
          </w:p>
          <w:p w14:paraId="74A1DC98">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（3）指导开展水源地突发环境事件风险防范和应急准备工作。</w:t>
            </w:r>
          </w:p>
        </w:tc>
        <w:tc>
          <w:tcPr>
            <w:tcW w:w="1213" w:type="pct"/>
            <w:tcBorders>
              <w:tl2br w:val="nil"/>
              <w:tr2bl w:val="nil"/>
            </w:tcBorders>
            <w:shd w:val="clear" w:color="auto" w:fill="auto"/>
            <w:vAlign w:val="center"/>
          </w:tcPr>
          <w:p w14:paraId="2E290C3E">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（1）协助总指挥组织开展现场应急处置；</w:t>
            </w:r>
          </w:p>
          <w:p w14:paraId="26BEFE67">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（2）根据分工或总指挥安排，负责现场的具体指挥协调；</w:t>
            </w:r>
          </w:p>
          <w:p w14:paraId="098AB9F4">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（3）负责提出有关应急处置建议；</w:t>
            </w:r>
          </w:p>
          <w:p w14:paraId="38FF738B">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（4）负责向场外人员通报有关应急信息；</w:t>
            </w:r>
          </w:p>
          <w:p w14:paraId="0057E932">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（5）负责协调现场与场外应急处置工作；</w:t>
            </w:r>
          </w:p>
          <w:p w14:paraId="5CBA101B">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（6）停止取水后，负责协调保障居民用水；</w:t>
            </w:r>
          </w:p>
          <w:p w14:paraId="71939B58">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（7）处置现场出现的紧急情况。</w:t>
            </w:r>
          </w:p>
        </w:tc>
      </w:tr>
      <w:tr w14:paraId="7F2C8D9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670" w:hRule="atLeast"/>
        </w:trPr>
        <w:tc>
          <w:tcPr>
            <w:tcW w:w="493" w:type="pct"/>
            <w:tcBorders>
              <w:tl2br w:val="nil"/>
              <w:tr2bl w:val="nil"/>
            </w:tcBorders>
            <w:shd w:val="clear" w:color="auto" w:fill="auto"/>
            <w:vAlign w:val="center"/>
          </w:tcPr>
          <w:p w14:paraId="3AB29742">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default"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指挥部办公室</w:t>
            </w:r>
          </w:p>
        </w:tc>
        <w:tc>
          <w:tcPr>
            <w:tcW w:w="758" w:type="pct"/>
            <w:tcBorders>
              <w:tl2br w:val="nil"/>
              <w:tr2bl w:val="nil"/>
            </w:tcBorders>
            <w:shd w:val="clear" w:color="auto" w:fill="auto"/>
            <w:vAlign w:val="center"/>
          </w:tcPr>
          <w:p w14:paraId="7C057449">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生态环境局</w:t>
            </w:r>
          </w:p>
        </w:tc>
        <w:tc>
          <w:tcPr>
            <w:tcW w:w="901" w:type="pct"/>
            <w:tcBorders>
              <w:tl2br w:val="nil"/>
              <w:tr2bl w:val="nil"/>
            </w:tcBorders>
            <w:shd w:val="clear" w:color="auto" w:fill="auto"/>
            <w:vAlign w:val="center"/>
          </w:tcPr>
          <w:p w14:paraId="5C2F44F5">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李海钰</w:t>
            </w:r>
            <w:r>
              <w:rPr>
                <w:rStyle w:val="15"/>
                <w:rFonts w:hint="default" w:ascii="仿宋" w:hAnsi="仿宋" w:eastAsia="仿宋" w:cs="仿宋"/>
                <w:color w:val="auto"/>
                <w:sz w:val="24"/>
                <w:szCs w:val="24"/>
                <w:highlight w:val="none"/>
                <w:lang w:val="en-US" w:eastAsia="zh-CN" w:bidi="ar"/>
              </w:rPr>
              <w:t>138</w:t>
            </w:r>
            <w:r>
              <w:rPr>
                <w:rStyle w:val="15"/>
                <w:rFonts w:hint="eastAsia" w:ascii="仿宋" w:hAnsi="仿宋" w:eastAsia="仿宋" w:cs="仿宋"/>
                <w:color w:val="auto"/>
                <w:sz w:val="24"/>
                <w:szCs w:val="24"/>
                <w:highlight w:val="none"/>
                <w:lang w:val="en-US" w:eastAsia="zh-CN" w:bidi="ar"/>
              </w:rPr>
              <w:t>46670894</w:t>
            </w:r>
          </w:p>
        </w:tc>
        <w:tc>
          <w:tcPr>
            <w:tcW w:w="515" w:type="pct"/>
            <w:tcBorders>
              <w:tl2br w:val="nil"/>
              <w:tr2bl w:val="nil"/>
            </w:tcBorders>
            <w:shd w:val="clear" w:color="auto" w:fill="auto"/>
            <w:vAlign w:val="center"/>
          </w:tcPr>
          <w:p w14:paraId="5ABECC2C">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生态环境局局长</w:t>
            </w:r>
          </w:p>
        </w:tc>
        <w:tc>
          <w:tcPr>
            <w:tcW w:w="1117" w:type="pct"/>
            <w:tcBorders>
              <w:tl2br w:val="nil"/>
              <w:tr2bl w:val="nil"/>
            </w:tcBorders>
            <w:shd w:val="clear" w:color="auto" w:fill="auto"/>
            <w:vAlign w:val="center"/>
          </w:tcPr>
          <w:p w14:paraId="2C4E4FC8">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Fonts w:hint="eastAsia" w:ascii="仿宋" w:hAnsi="仿宋" w:eastAsia="仿宋" w:cs="仿宋"/>
                <w:i w:val="0"/>
                <w:iCs w:val="0"/>
                <w:color w:val="auto"/>
                <w:kern w:val="2"/>
                <w:sz w:val="24"/>
                <w:szCs w:val="24"/>
                <w:highlight w:val="none"/>
                <w:lang w:val="en-US" w:eastAsia="zh-CN" w:bidi="ar"/>
              </w:rPr>
              <w:t>（1）</w:t>
            </w:r>
            <w:r>
              <w:rPr>
                <w:rStyle w:val="15"/>
                <w:rFonts w:hint="eastAsia" w:ascii="仿宋" w:hAnsi="仿宋" w:eastAsia="仿宋" w:cs="仿宋"/>
                <w:color w:val="auto"/>
                <w:sz w:val="24"/>
                <w:szCs w:val="24"/>
                <w:highlight w:val="none"/>
                <w:lang w:val="en-US" w:eastAsia="zh-CN" w:bidi="ar"/>
              </w:rPr>
              <w:t>组织编制、修订水源地应急预案；</w:t>
            </w:r>
          </w:p>
          <w:p w14:paraId="600D1510">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（2）负责水源地应急预案的日常管理，开展预案培训和演练、应急救援队伍建设和能力评估等工作；（3）组织开展水源地突发环境事件风险防范和应急准备工作。</w:t>
            </w:r>
          </w:p>
        </w:tc>
        <w:tc>
          <w:tcPr>
            <w:tcW w:w="1213" w:type="pct"/>
            <w:tcBorders>
              <w:tl2br w:val="nil"/>
              <w:tr2bl w:val="nil"/>
            </w:tcBorders>
            <w:shd w:val="clear" w:color="auto" w:fill="auto"/>
            <w:vAlign w:val="center"/>
          </w:tcPr>
          <w:p w14:paraId="37E7BD46">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（1）贯彻执行总指挥、副总指挥的各项指令和要求；</w:t>
            </w:r>
          </w:p>
          <w:p w14:paraId="22289E92">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（2）负责信息汇总上报，并与有关的外部应急部门、组织和机构进行联络；</w:t>
            </w:r>
          </w:p>
          <w:p w14:paraId="1DE2842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（3）负责调动应急人员、调配应急资源和联络外部应急组织或机构；</w:t>
            </w:r>
          </w:p>
          <w:p w14:paraId="45DAB5DF">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（4）收集整理有关事件数据。</w:t>
            </w:r>
          </w:p>
        </w:tc>
      </w:tr>
      <w:tr w14:paraId="604C877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50" w:hRule="atLeast"/>
        </w:trPr>
        <w:tc>
          <w:tcPr>
            <w:tcW w:w="493" w:type="pct"/>
            <w:tcBorders>
              <w:tl2br w:val="nil"/>
              <w:tr2bl w:val="nil"/>
            </w:tcBorders>
            <w:shd w:val="clear" w:color="auto" w:fill="auto"/>
            <w:vAlign w:val="center"/>
          </w:tcPr>
          <w:p w14:paraId="20923854">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default"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应急监测组</w:t>
            </w:r>
          </w:p>
        </w:tc>
        <w:tc>
          <w:tcPr>
            <w:tcW w:w="758" w:type="pct"/>
            <w:tcBorders>
              <w:tl2br w:val="nil"/>
              <w:tr2bl w:val="nil"/>
            </w:tcBorders>
            <w:shd w:val="clear" w:color="auto" w:fill="auto"/>
            <w:vAlign w:val="center"/>
          </w:tcPr>
          <w:p w14:paraId="5D1EA98B">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生态环境局</w:t>
            </w:r>
          </w:p>
        </w:tc>
        <w:tc>
          <w:tcPr>
            <w:tcW w:w="901" w:type="pct"/>
            <w:tcBorders>
              <w:tl2br w:val="nil"/>
              <w:tr2bl w:val="nil"/>
            </w:tcBorders>
            <w:shd w:val="clear" w:color="auto" w:fill="auto"/>
            <w:vAlign w:val="center"/>
          </w:tcPr>
          <w:p w14:paraId="5DA6F32A">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李海钰</w:t>
            </w:r>
            <w:r>
              <w:rPr>
                <w:rStyle w:val="15"/>
                <w:rFonts w:hint="default" w:ascii="仿宋" w:hAnsi="仿宋" w:eastAsia="仿宋" w:cs="仿宋"/>
                <w:color w:val="auto"/>
                <w:sz w:val="24"/>
                <w:szCs w:val="24"/>
                <w:highlight w:val="none"/>
                <w:lang w:val="en-US" w:eastAsia="zh-CN" w:bidi="ar"/>
              </w:rPr>
              <w:t>138</w:t>
            </w:r>
            <w:r>
              <w:rPr>
                <w:rStyle w:val="15"/>
                <w:rFonts w:hint="eastAsia" w:ascii="仿宋" w:hAnsi="仿宋" w:eastAsia="仿宋" w:cs="仿宋"/>
                <w:color w:val="auto"/>
                <w:sz w:val="24"/>
                <w:szCs w:val="24"/>
                <w:highlight w:val="none"/>
                <w:lang w:val="en-US" w:eastAsia="zh-CN" w:bidi="ar"/>
              </w:rPr>
              <w:t>46670894</w:t>
            </w:r>
          </w:p>
        </w:tc>
        <w:tc>
          <w:tcPr>
            <w:tcW w:w="515" w:type="pct"/>
            <w:tcBorders>
              <w:tl2br w:val="nil"/>
              <w:tr2bl w:val="nil"/>
            </w:tcBorders>
            <w:shd w:val="clear" w:color="auto" w:fill="auto"/>
            <w:vAlign w:val="center"/>
          </w:tcPr>
          <w:p w14:paraId="30BD1352">
            <w:pPr>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生态环境局局长</w:t>
            </w:r>
          </w:p>
        </w:tc>
        <w:tc>
          <w:tcPr>
            <w:tcW w:w="1117" w:type="pct"/>
            <w:tcBorders>
              <w:tl2br w:val="nil"/>
              <w:tr2bl w:val="nil"/>
            </w:tcBorders>
            <w:shd w:val="clear" w:color="auto" w:fill="auto"/>
            <w:vAlign w:val="center"/>
          </w:tcPr>
          <w:p w14:paraId="4F04E133">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环境保护：负责水源地日常监测，及时上报并通报水源地水质异常信息。开展水源地污染防治的日常监督和管理。</w:t>
            </w:r>
          </w:p>
        </w:tc>
        <w:tc>
          <w:tcPr>
            <w:tcW w:w="1213" w:type="pct"/>
            <w:tcBorders>
              <w:tl2br w:val="nil"/>
              <w:tr2bl w:val="nil"/>
            </w:tcBorders>
            <w:shd w:val="clear" w:color="auto" w:fill="auto"/>
            <w:vAlign w:val="center"/>
          </w:tcPr>
          <w:p w14:paraId="1F845448">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负责应急监测，督促、指导有关部门和单位开展水源地污染物削减处置等工作。</w:t>
            </w:r>
          </w:p>
        </w:tc>
      </w:tr>
      <w:tr w14:paraId="60C0CFF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25" w:hRule="atLeast"/>
        </w:trPr>
        <w:tc>
          <w:tcPr>
            <w:tcW w:w="493" w:type="pct"/>
            <w:vMerge w:val="restart"/>
            <w:tcBorders>
              <w:tl2br w:val="nil"/>
              <w:tr2bl w:val="nil"/>
            </w:tcBorders>
            <w:shd w:val="clear" w:color="auto" w:fill="auto"/>
            <w:vAlign w:val="center"/>
          </w:tcPr>
          <w:p w14:paraId="05E71C73">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应急处置组</w:t>
            </w:r>
          </w:p>
        </w:tc>
        <w:tc>
          <w:tcPr>
            <w:tcW w:w="758" w:type="pct"/>
            <w:tcBorders>
              <w:tl2br w:val="nil"/>
              <w:tr2bl w:val="nil"/>
            </w:tcBorders>
            <w:shd w:val="clear" w:color="auto" w:fill="auto"/>
            <w:vAlign w:val="center"/>
          </w:tcPr>
          <w:p w14:paraId="2BB6E08E">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消防救援大队</w:t>
            </w:r>
          </w:p>
        </w:tc>
        <w:tc>
          <w:tcPr>
            <w:tcW w:w="901" w:type="pct"/>
            <w:tcBorders>
              <w:tl2br w:val="nil"/>
              <w:tr2bl w:val="nil"/>
            </w:tcBorders>
            <w:shd w:val="clear" w:color="auto" w:fill="auto"/>
            <w:vAlign w:val="center"/>
          </w:tcPr>
          <w:p w14:paraId="77F22B64">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张文甲15094580007</w:t>
            </w:r>
          </w:p>
        </w:tc>
        <w:tc>
          <w:tcPr>
            <w:tcW w:w="515" w:type="pct"/>
            <w:tcBorders>
              <w:tl2br w:val="nil"/>
              <w:tr2bl w:val="nil"/>
            </w:tcBorders>
            <w:shd w:val="clear" w:color="auto" w:fill="auto"/>
            <w:vAlign w:val="center"/>
          </w:tcPr>
          <w:p w14:paraId="253B5125">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消防救援大队</w:t>
            </w:r>
            <w:r>
              <w:rPr>
                <w:rStyle w:val="15"/>
                <w:rFonts w:hint="eastAsia" w:ascii="仿宋" w:hAnsi="仿宋" w:eastAsia="仿宋" w:cs="仿宋"/>
                <w:color w:val="auto"/>
                <w:sz w:val="24"/>
                <w:szCs w:val="24"/>
                <w:highlight w:val="none"/>
                <w:lang w:val="en-US" w:eastAsia="zh-CN" w:bidi="ar"/>
              </w:rPr>
              <w:t>队长</w:t>
            </w:r>
          </w:p>
        </w:tc>
        <w:tc>
          <w:tcPr>
            <w:tcW w:w="1117" w:type="pct"/>
            <w:tcBorders>
              <w:tl2br w:val="nil"/>
              <w:tr2bl w:val="nil"/>
            </w:tcBorders>
            <w:shd w:val="clear" w:color="auto" w:fill="auto"/>
            <w:vAlign w:val="center"/>
          </w:tcPr>
          <w:p w14:paraId="4F733A82">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w:t>
            </w:r>
          </w:p>
        </w:tc>
        <w:tc>
          <w:tcPr>
            <w:tcW w:w="1213" w:type="pct"/>
            <w:tcBorders>
              <w:tl2br w:val="nil"/>
              <w:tr2bl w:val="nil"/>
            </w:tcBorders>
            <w:shd w:val="clear" w:color="auto" w:fill="auto"/>
            <w:vAlign w:val="center"/>
          </w:tcPr>
          <w:p w14:paraId="37543A37">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消防：在处置火灾爆炸事故时，防止消防水进入水源地及其连接水体。</w:t>
            </w:r>
          </w:p>
        </w:tc>
      </w:tr>
      <w:tr w14:paraId="6D979B4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875" w:hRule="atLeast"/>
        </w:trPr>
        <w:tc>
          <w:tcPr>
            <w:tcW w:w="493" w:type="pct"/>
            <w:vMerge w:val="continue"/>
            <w:tcBorders>
              <w:tl2br w:val="nil"/>
              <w:tr2bl w:val="nil"/>
            </w:tcBorders>
            <w:shd w:val="clear" w:color="auto" w:fill="auto"/>
            <w:vAlign w:val="center"/>
          </w:tcPr>
          <w:p w14:paraId="5D54E083">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758" w:type="pct"/>
            <w:tcBorders>
              <w:tl2br w:val="nil"/>
              <w:tr2bl w:val="nil"/>
            </w:tcBorders>
            <w:shd w:val="clear" w:color="auto" w:fill="FFFFFF" w:themeFill="background1"/>
            <w:vAlign w:val="center"/>
          </w:tcPr>
          <w:p w14:paraId="515F3830">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林草局（农业农村局）</w:t>
            </w:r>
          </w:p>
        </w:tc>
        <w:tc>
          <w:tcPr>
            <w:tcW w:w="901" w:type="pct"/>
            <w:tcBorders>
              <w:tl2br w:val="nil"/>
              <w:tr2bl w:val="nil"/>
            </w:tcBorders>
            <w:shd w:val="clear" w:color="auto" w:fill="FFFFFF" w:themeFill="background1"/>
            <w:vAlign w:val="center"/>
          </w:tcPr>
          <w:p w14:paraId="2E0212D1">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 xml:space="preserve">徐 </w:t>
            </w:r>
            <w:r>
              <w:rPr>
                <w:rStyle w:val="15"/>
                <w:rFonts w:hint="eastAsia" w:ascii="仿宋" w:hAnsi="仿宋" w:eastAsia="仿宋" w:cs="仿宋"/>
                <w:color w:val="auto"/>
                <w:sz w:val="24"/>
                <w:szCs w:val="24"/>
                <w:highlight w:val="none"/>
                <w:lang w:val="en-US" w:eastAsia="zh-CN" w:bidi="ar"/>
              </w:rPr>
              <w:t xml:space="preserve"> </w:t>
            </w:r>
            <w:r>
              <w:rPr>
                <w:rStyle w:val="15"/>
                <w:rFonts w:hint="default" w:ascii="仿宋" w:hAnsi="仿宋" w:eastAsia="仿宋" w:cs="仿宋"/>
                <w:color w:val="auto"/>
                <w:sz w:val="24"/>
                <w:szCs w:val="24"/>
                <w:highlight w:val="none"/>
                <w:lang w:val="en-US" w:eastAsia="zh-CN" w:bidi="ar"/>
              </w:rPr>
              <w:t>钊13766749088</w:t>
            </w:r>
          </w:p>
        </w:tc>
        <w:tc>
          <w:tcPr>
            <w:tcW w:w="515" w:type="pct"/>
            <w:tcBorders>
              <w:tl2br w:val="nil"/>
              <w:tr2bl w:val="nil"/>
            </w:tcBorders>
            <w:shd w:val="clear" w:color="auto" w:fill="FFFFFF" w:themeFill="background1"/>
            <w:vAlign w:val="center"/>
          </w:tcPr>
          <w:p w14:paraId="51C2D058">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林草局（农业农村局）局长</w:t>
            </w:r>
          </w:p>
        </w:tc>
        <w:tc>
          <w:tcPr>
            <w:tcW w:w="1117" w:type="pct"/>
            <w:tcBorders>
              <w:tl2br w:val="nil"/>
              <w:tr2bl w:val="nil"/>
            </w:tcBorders>
            <w:shd w:val="clear" w:color="auto" w:fill="auto"/>
            <w:vAlign w:val="center"/>
          </w:tcPr>
          <w:p w14:paraId="2A248020">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农业：管理暴雨期间入河农灌退水排放行为，防范农业面源导致的水源地突发环境事件。</w:t>
            </w:r>
          </w:p>
        </w:tc>
        <w:tc>
          <w:tcPr>
            <w:tcW w:w="1213" w:type="pct"/>
            <w:tcBorders>
              <w:tl2br w:val="nil"/>
              <w:tr2bl w:val="nil"/>
            </w:tcBorders>
            <w:shd w:val="clear" w:color="auto" w:fill="auto"/>
            <w:vAlign w:val="center"/>
          </w:tcPr>
          <w:p w14:paraId="49EFD5B2">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协助处置因农业面源、渔业养殖导致的水源地突发环境事件。对于具有农灌功能的水源地，在应急期间暂停农灌取水。</w:t>
            </w:r>
          </w:p>
        </w:tc>
      </w:tr>
      <w:tr w14:paraId="739B2B6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25" w:hRule="atLeast"/>
        </w:trPr>
        <w:tc>
          <w:tcPr>
            <w:tcW w:w="493" w:type="pct"/>
            <w:vMerge w:val="continue"/>
            <w:tcBorders>
              <w:tl2br w:val="nil"/>
              <w:tr2bl w:val="nil"/>
            </w:tcBorders>
            <w:shd w:val="clear" w:color="auto" w:fill="auto"/>
            <w:vAlign w:val="center"/>
          </w:tcPr>
          <w:p w14:paraId="300D3A6F">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758" w:type="pct"/>
            <w:tcBorders>
              <w:tl2br w:val="nil"/>
              <w:tr2bl w:val="nil"/>
            </w:tcBorders>
            <w:shd w:val="clear" w:color="auto" w:fill="FFFFFF" w:themeFill="background1"/>
            <w:vAlign w:val="center"/>
          </w:tcPr>
          <w:p w14:paraId="1A8A3FA7">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气象局</w:t>
            </w:r>
          </w:p>
        </w:tc>
        <w:tc>
          <w:tcPr>
            <w:tcW w:w="1416" w:type="pct"/>
            <w:gridSpan w:val="2"/>
            <w:tcBorders>
              <w:tl2br w:val="nil"/>
              <w:tr2bl w:val="nil"/>
            </w:tcBorders>
            <w:shd w:val="clear" w:color="auto" w:fill="FFFFFF" w:themeFill="background1"/>
            <w:vAlign w:val="center"/>
          </w:tcPr>
          <w:p w14:paraId="7FEE3E9A">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依托伊春市气象局</w:t>
            </w:r>
          </w:p>
        </w:tc>
        <w:tc>
          <w:tcPr>
            <w:tcW w:w="1117" w:type="pct"/>
            <w:tcBorders>
              <w:tl2br w:val="nil"/>
              <w:tr2bl w:val="nil"/>
            </w:tcBorders>
            <w:shd w:val="clear" w:color="auto" w:fill="auto"/>
            <w:vAlign w:val="center"/>
          </w:tcPr>
          <w:p w14:paraId="34FD4364">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气象：及时上报、通报和发布暴雨、洪水等气象信息。</w:t>
            </w:r>
          </w:p>
        </w:tc>
        <w:tc>
          <w:tcPr>
            <w:tcW w:w="1213" w:type="pct"/>
            <w:tcBorders>
              <w:tl2br w:val="nil"/>
              <w:tr2bl w:val="nil"/>
            </w:tcBorders>
            <w:shd w:val="clear" w:color="auto" w:fill="auto"/>
            <w:vAlign w:val="center"/>
          </w:tcPr>
          <w:p w14:paraId="79639F37">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负责应急期间提供水源地周边气象信息。</w:t>
            </w:r>
          </w:p>
        </w:tc>
      </w:tr>
      <w:tr w14:paraId="2CF890D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875" w:hRule="atLeast"/>
        </w:trPr>
        <w:tc>
          <w:tcPr>
            <w:tcW w:w="493" w:type="pct"/>
            <w:vMerge w:val="continue"/>
            <w:tcBorders>
              <w:tl2br w:val="nil"/>
              <w:tr2bl w:val="nil"/>
            </w:tcBorders>
            <w:shd w:val="clear" w:color="auto" w:fill="auto"/>
            <w:vAlign w:val="center"/>
          </w:tcPr>
          <w:p w14:paraId="1DE008AD">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758" w:type="pct"/>
            <w:tcBorders>
              <w:tl2br w:val="nil"/>
              <w:tr2bl w:val="nil"/>
            </w:tcBorders>
            <w:shd w:val="clear" w:color="auto" w:fill="FFFFFF" w:themeFill="background1"/>
            <w:vAlign w:val="center"/>
          </w:tcPr>
          <w:p w14:paraId="6B15BF2B">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应急管理局</w:t>
            </w:r>
          </w:p>
        </w:tc>
        <w:tc>
          <w:tcPr>
            <w:tcW w:w="901" w:type="pct"/>
            <w:tcBorders>
              <w:tl2br w:val="nil"/>
              <w:tr2bl w:val="nil"/>
            </w:tcBorders>
            <w:shd w:val="clear" w:color="auto" w:fill="FFFFFF" w:themeFill="background1"/>
            <w:vAlign w:val="center"/>
          </w:tcPr>
          <w:p w14:paraId="38D43F18">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default" w:ascii="仿宋" w:hAnsi="仿宋" w:eastAsia="仿宋" w:cs="仿宋"/>
                <w:color w:val="auto"/>
                <w:sz w:val="24"/>
                <w:szCs w:val="24"/>
                <w:highlight w:val="none"/>
                <w:lang w:val="en-US" w:eastAsia="zh-CN" w:bidi="ar"/>
              </w:rPr>
              <w:t>王力齐13845857168</w:t>
            </w:r>
          </w:p>
        </w:tc>
        <w:tc>
          <w:tcPr>
            <w:tcW w:w="515" w:type="pct"/>
            <w:tcBorders>
              <w:tl2br w:val="nil"/>
              <w:tr2bl w:val="nil"/>
            </w:tcBorders>
            <w:shd w:val="clear" w:color="auto" w:fill="FFFFFF" w:themeFill="background1"/>
            <w:vAlign w:val="center"/>
          </w:tcPr>
          <w:p w14:paraId="2D44C828">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应急管理局局长</w:t>
            </w:r>
          </w:p>
        </w:tc>
        <w:tc>
          <w:tcPr>
            <w:tcW w:w="1117" w:type="pct"/>
            <w:tcBorders>
              <w:tl2br w:val="nil"/>
              <w:tr2bl w:val="nil"/>
            </w:tcBorders>
            <w:shd w:val="clear" w:color="auto" w:fill="auto"/>
            <w:vAlign w:val="center"/>
          </w:tcPr>
          <w:p w14:paraId="1233655F">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安全生产监管：防范企业生产安全事故次生水源地突发环境事件，及时上报并通报事故信息。</w:t>
            </w:r>
          </w:p>
        </w:tc>
        <w:tc>
          <w:tcPr>
            <w:tcW w:w="1213" w:type="pct"/>
            <w:tcBorders>
              <w:tl2br w:val="nil"/>
              <w:tr2bl w:val="nil"/>
            </w:tcBorders>
            <w:shd w:val="clear" w:color="auto" w:fill="auto"/>
            <w:vAlign w:val="center"/>
          </w:tcPr>
          <w:p w14:paraId="3EB40A51">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协助处置因企业生产安全事故、违法排污等导致的水源地突发环境事件。</w:t>
            </w:r>
          </w:p>
        </w:tc>
      </w:tr>
      <w:tr w14:paraId="6D7F0EC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50" w:hRule="atLeast"/>
        </w:trPr>
        <w:tc>
          <w:tcPr>
            <w:tcW w:w="493" w:type="pct"/>
            <w:vMerge w:val="restart"/>
            <w:tcBorders>
              <w:tl2br w:val="nil"/>
              <w:tr2bl w:val="nil"/>
            </w:tcBorders>
            <w:shd w:val="clear" w:color="auto" w:fill="auto"/>
            <w:vAlign w:val="center"/>
          </w:tcPr>
          <w:p w14:paraId="37795EEA">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default"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应急供水保障组</w:t>
            </w:r>
          </w:p>
        </w:tc>
        <w:tc>
          <w:tcPr>
            <w:tcW w:w="758" w:type="pct"/>
            <w:vMerge w:val="restart"/>
            <w:tcBorders>
              <w:tl2br w:val="nil"/>
              <w:tr2bl w:val="nil"/>
            </w:tcBorders>
            <w:shd w:val="clear" w:color="auto" w:fill="FFFFFF" w:themeFill="background1"/>
            <w:vAlign w:val="center"/>
          </w:tcPr>
          <w:p w14:paraId="20D08C7F">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lang w:val="en-US" w:eastAsia="zh-CN"/>
              </w:rPr>
            </w:pPr>
            <w:r>
              <w:rPr>
                <w:rFonts w:hint="default" w:ascii="仿宋" w:hAnsi="仿宋" w:eastAsia="仿宋" w:cs="仿宋"/>
                <w:i w:val="0"/>
                <w:iCs w:val="0"/>
                <w:color w:val="auto"/>
                <w:sz w:val="24"/>
                <w:szCs w:val="24"/>
                <w:highlight w:val="none"/>
                <w:u w:val="none"/>
                <w:lang w:val="en-US" w:eastAsia="zh-CN"/>
              </w:rPr>
              <w:t>水务局</w:t>
            </w:r>
          </w:p>
        </w:tc>
        <w:tc>
          <w:tcPr>
            <w:tcW w:w="901" w:type="pct"/>
            <w:vMerge w:val="restart"/>
            <w:tcBorders>
              <w:tl2br w:val="nil"/>
              <w:tr2bl w:val="nil"/>
            </w:tcBorders>
            <w:shd w:val="clear" w:color="auto" w:fill="FFFFFF" w:themeFill="background1"/>
            <w:vAlign w:val="center"/>
          </w:tcPr>
          <w:p w14:paraId="1531C825">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白帆18104586669</w:t>
            </w:r>
          </w:p>
        </w:tc>
        <w:tc>
          <w:tcPr>
            <w:tcW w:w="515" w:type="pct"/>
            <w:vMerge w:val="restart"/>
            <w:tcBorders>
              <w:tl2br w:val="nil"/>
              <w:tr2bl w:val="nil"/>
            </w:tcBorders>
            <w:shd w:val="clear" w:color="auto" w:fill="FFFFFF" w:themeFill="background1"/>
            <w:vAlign w:val="center"/>
          </w:tcPr>
          <w:p w14:paraId="3A9BE4B2">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lang w:val="en-US" w:eastAsia="zh-CN"/>
              </w:rPr>
            </w:pPr>
            <w:r>
              <w:rPr>
                <w:rFonts w:hint="default" w:ascii="仿宋" w:hAnsi="仿宋" w:eastAsia="仿宋" w:cs="仿宋"/>
                <w:i w:val="0"/>
                <w:iCs w:val="0"/>
                <w:color w:val="auto"/>
                <w:sz w:val="24"/>
                <w:szCs w:val="24"/>
                <w:highlight w:val="none"/>
                <w:u w:val="none"/>
                <w:lang w:val="en-US" w:eastAsia="zh-CN"/>
              </w:rPr>
              <w:t>水务局局长</w:t>
            </w:r>
          </w:p>
        </w:tc>
        <w:tc>
          <w:tcPr>
            <w:tcW w:w="1117" w:type="pct"/>
            <w:tcBorders>
              <w:tl2br w:val="nil"/>
              <w:tr2bl w:val="nil"/>
            </w:tcBorders>
            <w:shd w:val="clear" w:color="auto" w:fill="auto"/>
            <w:vAlign w:val="center"/>
          </w:tcPr>
          <w:p w14:paraId="56783480">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负责供水单位日常管理工作，对供水单位水质异常现象进行调查处理，及时上报并通报供水单位水质异常信息。</w:t>
            </w:r>
          </w:p>
        </w:tc>
        <w:tc>
          <w:tcPr>
            <w:tcW w:w="1213" w:type="pct"/>
            <w:tcBorders>
              <w:tl2br w:val="nil"/>
              <w:tr2bl w:val="nil"/>
            </w:tcBorders>
            <w:shd w:val="clear" w:color="auto" w:fill="auto"/>
            <w:vAlign w:val="center"/>
          </w:tcPr>
          <w:p w14:paraId="33368C1F">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负责指导供水单位的应急处置工作，组织供水单位进行应急监测，落实停止取水、启动深度处理设施和切换备用水源等应急工作安</w:t>
            </w:r>
            <w:r>
              <w:rPr>
                <w:rStyle w:val="16"/>
                <w:rFonts w:hint="eastAsia" w:ascii="仿宋" w:hAnsi="仿宋" w:eastAsia="仿宋" w:cs="仿宋"/>
                <w:color w:val="auto"/>
                <w:sz w:val="24"/>
                <w:szCs w:val="24"/>
                <w:highlight w:val="none"/>
                <w:lang w:val="en-US" w:eastAsia="zh-CN" w:bidi="ar"/>
              </w:rPr>
              <w:t>排。</w:t>
            </w:r>
          </w:p>
        </w:tc>
      </w:tr>
      <w:tr w14:paraId="1D51E38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500" w:hRule="atLeast"/>
        </w:trPr>
        <w:tc>
          <w:tcPr>
            <w:tcW w:w="493" w:type="pct"/>
            <w:vMerge w:val="continue"/>
            <w:tcBorders>
              <w:tl2br w:val="nil"/>
              <w:tr2bl w:val="nil"/>
            </w:tcBorders>
            <w:shd w:val="clear" w:color="auto" w:fill="auto"/>
            <w:vAlign w:val="center"/>
          </w:tcPr>
          <w:p w14:paraId="6E5D3450">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758" w:type="pct"/>
            <w:vMerge w:val="continue"/>
            <w:tcBorders>
              <w:tl2br w:val="nil"/>
              <w:tr2bl w:val="nil"/>
            </w:tcBorders>
            <w:shd w:val="clear" w:color="auto" w:fill="FFFFFF" w:themeFill="background1"/>
            <w:vAlign w:val="center"/>
          </w:tcPr>
          <w:p w14:paraId="0DE22D45">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901" w:type="pct"/>
            <w:vMerge w:val="continue"/>
            <w:tcBorders>
              <w:tl2br w:val="nil"/>
              <w:tr2bl w:val="nil"/>
            </w:tcBorders>
            <w:shd w:val="clear" w:color="auto" w:fill="FFFFFF" w:themeFill="background1"/>
            <w:vAlign w:val="center"/>
          </w:tcPr>
          <w:p w14:paraId="2E0C8509">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515" w:type="pct"/>
            <w:vMerge w:val="continue"/>
            <w:tcBorders>
              <w:tl2br w:val="nil"/>
              <w:tr2bl w:val="nil"/>
            </w:tcBorders>
            <w:shd w:val="clear" w:color="auto" w:fill="FFFFFF" w:themeFill="background1"/>
            <w:vAlign w:val="center"/>
          </w:tcPr>
          <w:p w14:paraId="3E639554">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1117" w:type="pct"/>
            <w:tcBorders>
              <w:tl2br w:val="nil"/>
              <w:tr2bl w:val="nil"/>
            </w:tcBorders>
            <w:shd w:val="clear" w:color="auto" w:fill="auto"/>
            <w:vAlign w:val="center"/>
          </w:tcPr>
          <w:p w14:paraId="658F6F52">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w:t>
            </w:r>
          </w:p>
        </w:tc>
        <w:tc>
          <w:tcPr>
            <w:tcW w:w="1213" w:type="pct"/>
            <w:tcBorders>
              <w:tl2br w:val="nil"/>
              <w:tr2bl w:val="nil"/>
            </w:tcBorders>
            <w:shd w:val="clear" w:color="auto" w:fill="auto"/>
            <w:vAlign w:val="center"/>
          </w:tcPr>
          <w:p w14:paraId="2040ECA4">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战区（武装）：对影响范围大或严重的水源地突发环境事件应急响应工作进行支援</w:t>
            </w:r>
          </w:p>
        </w:tc>
      </w:tr>
      <w:tr w14:paraId="34666D6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25" w:hRule="atLeast"/>
        </w:trPr>
        <w:tc>
          <w:tcPr>
            <w:tcW w:w="493" w:type="pct"/>
            <w:vMerge w:val="continue"/>
            <w:tcBorders>
              <w:tl2br w:val="nil"/>
              <w:tr2bl w:val="nil"/>
            </w:tcBorders>
            <w:shd w:val="clear" w:color="auto" w:fill="auto"/>
            <w:vAlign w:val="center"/>
          </w:tcPr>
          <w:p w14:paraId="46BBACC8">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758" w:type="pct"/>
            <w:vMerge w:val="continue"/>
            <w:tcBorders>
              <w:tl2br w:val="nil"/>
              <w:tr2bl w:val="nil"/>
            </w:tcBorders>
            <w:shd w:val="clear" w:color="auto" w:fill="FFFFFF" w:themeFill="background1"/>
            <w:vAlign w:val="center"/>
          </w:tcPr>
          <w:p w14:paraId="1289120D">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901" w:type="pct"/>
            <w:vMerge w:val="continue"/>
            <w:tcBorders>
              <w:tl2br w:val="nil"/>
              <w:tr2bl w:val="nil"/>
            </w:tcBorders>
            <w:shd w:val="clear" w:color="auto" w:fill="FFFFFF" w:themeFill="background1"/>
            <w:vAlign w:val="center"/>
          </w:tcPr>
          <w:p w14:paraId="55AA5E00">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515" w:type="pct"/>
            <w:vMerge w:val="continue"/>
            <w:tcBorders>
              <w:tl2br w:val="nil"/>
              <w:tr2bl w:val="nil"/>
            </w:tcBorders>
            <w:shd w:val="clear" w:color="auto" w:fill="FFFFFF" w:themeFill="background1"/>
            <w:vAlign w:val="center"/>
          </w:tcPr>
          <w:p w14:paraId="44309B06">
            <w:pPr>
              <w:keepNext w:val="0"/>
              <w:keepLines w:val="0"/>
              <w:pageBreakBefore w:val="0"/>
              <w:widowControl/>
              <w:kinsoku/>
              <w:wordWrap/>
              <w:overflowPunct/>
              <w:topLinePunct w:val="0"/>
              <w:autoSpaceDE w:val="0"/>
              <w:autoSpaceDN w:val="0"/>
              <w:bidi w:val="0"/>
              <w:adjustRightInd w:val="0"/>
              <w:snapToGrid w:val="0"/>
              <w:jc w:val="center"/>
              <w:rPr>
                <w:rFonts w:hint="eastAsia" w:ascii="仿宋" w:hAnsi="仿宋" w:eastAsia="仿宋" w:cs="仿宋"/>
                <w:i w:val="0"/>
                <w:iCs w:val="0"/>
                <w:color w:val="auto"/>
                <w:sz w:val="24"/>
                <w:szCs w:val="24"/>
                <w:highlight w:val="none"/>
                <w:u w:val="none"/>
              </w:rPr>
            </w:pPr>
          </w:p>
        </w:tc>
        <w:tc>
          <w:tcPr>
            <w:tcW w:w="1117" w:type="pct"/>
            <w:tcBorders>
              <w:tl2br w:val="nil"/>
              <w:tr2bl w:val="nil"/>
            </w:tcBorders>
            <w:shd w:val="clear" w:color="auto" w:fill="auto"/>
            <w:vAlign w:val="center"/>
          </w:tcPr>
          <w:p w14:paraId="5B6B2143">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应急物资所属部门：负责有关应急物资的日常维护管理。</w:t>
            </w:r>
          </w:p>
        </w:tc>
        <w:tc>
          <w:tcPr>
            <w:tcW w:w="1213" w:type="pct"/>
            <w:tcBorders>
              <w:tl2br w:val="nil"/>
              <w:tr2bl w:val="nil"/>
            </w:tcBorders>
            <w:shd w:val="clear" w:color="auto" w:fill="auto"/>
            <w:vAlign w:val="center"/>
          </w:tcPr>
          <w:p w14:paraId="248C6D06">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Fonts w:hint="eastAsia" w:ascii="仿宋" w:hAnsi="仿宋" w:eastAsia="仿宋" w:cs="仿宋"/>
                <w:i w:val="0"/>
                <w:iCs w:val="0"/>
                <w:color w:val="auto"/>
                <w:sz w:val="24"/>
                <w:szCs w:val="24"/>
                <w:highlight w:val="none"/>
                <w:u w:val="none"/>
              </w:rPr>
            </w:pPr>
            <w:r>
              <w:rPr>
                <w:rStyle w:val="15"/>
                <w:rFonts w:hint="eastAsia" w:ascii="仿宋" w:hAnsi="仿宋" w:eastAsia="仿宋" w:cs="仿宋"/>
                <w:color w:val="auto"/>
                <w:sz w:val="24"/>
                <w:szCs w:val="24"/>
                <w:highlight w:val="none"/>
                <w:lang w:val="en-US" w:eastAsia="zh-CN" w:bidi="ar"/>
              </w:rPr>
              <w:t>负责有关应急物资的使用管理。</w:t>
            </w:r>
          </w:p>
        </w:tc>
      </w:tr>
      <w:tr w14:paraId="11F94E7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493" w:type="pct"/>
            <w:tcBorders>
              <w:tl2br w:val="nil"/>
              <w:tr2bl w:val="nil"/>
            </w:tcBorders>
            <w:shd w:val="clear" w:color="auto" w:fill="auto"/>
            <w:vAlign w:val="center"/>
          </w:tcPr>
          <w:p w14:paraId="059D6F36">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default" w:ascii="仿宋" w:hAnsi="仿宋" w:eastAsia="仿宋" w:cs="仿宋"/>
                <w:color w:val="auto"/>
                <w:sz w:val="24"/>
                <w:szCs w:val="24"/>
                <w:highlight w:val="none"/>
                <w:lang w:val="en-US" w:eastAsia="zh-CN" w:bidi="ar"/>
              </w:rPr>
            </w:pPr>
            <w:r>
              <w:rPr>
                <w:rStyle w:val="18"/>
                <w:rFonts w:hint="eastAsia" w:ascii="仿宋" w:hAnsi="仿宋" w:eastAsia="仿宋" w:cs="仿宋"/>
                <w:color w:val="auto"/>
                <w:sz w:val="24"/>
                <w:szCs w:val="24"/>
                <w:highlight w:val="none"/>
                <w:lang w:val="en-US" w:eastAsia="zh-CN" w:bidi="ar"/>
              </w:rPr>
              <w:t>应急调查组</w:t>
            </w:r>
          </w:p>
        </w:tc>
        <w:tc>
          <w:tcPr>
            <w:tcW w:w="758" w:type="pct"/>
            <w:tcBorders>
              <w:tl2br w:val="nil"/>
              <w:tr2bl w:val="nil"/>
            </w:tcBorders>
            <w:shd w:val="clear" w:color="auto" w:fill="FFFFFF" w:themeFill="background1"/>
            <w:vAlign w:val="center"/>
          </w:tcPr>
          <w:p w14:paraId="02BB69C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公安局</w:t>
            </w:r>
          </w:p>
        </w:tc>
        <w:tc>
          <w:tcPr>
            <w:tcW w:w="901" w:type="pct"/>
            <w:tcBorders>
              <w:tl2br w:val="nil"/>
              <w:tr2bl w:val="nil"/>
            </w:tcBorders>
            <w:shd w:val="clear" w:color="auto" w:fill="FFFFFF" w:themeFill="background1"/>
            <w:vAlign w:val="center"/>
          </w:tcPr>
          <w:p w14:paraId="0333DC04">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eastAsia" w:ascii="仿宋" w:hAnsi="仿宋" w:eastAsia="仿宋" w:cs="仿宋"/>
                <w:color w:val="auto"/>
                <w:sz w:val="24"/>
                <w:szCs w:val="24"/>
                <w:highlight w:val="none"/>
                <w:lang w:val="en-US" w:eastAsia="zh-CN" w:bidi="ar"/>
              </w:rPr>
              <w:t>蒋  硕15945809955</w:t>
            </w:r>
          </w:p>
        </w:tc>
        <w:tc>
          <w:tcPr>
            <w:tcW w:w="515" w:type="pct"/>
            <w:tcBorders>
              <w:tl2br w:val="nil"/>
              <w:tr2bl w:val="nil"/>
            </w:tcBorders>
            <w:shd w:val="clear" w:color="auto" w:fill="FFFFFF" w:themeFill="background1"/>
            <w:vAlign w:val="center"/>
          </w:tcPr>
          <w:p w14:paraId="1F53C2D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公安局</w:t>
            </w:r>
            <w:r>
              <w:rPr>
                <w:rStyle w:val="18"/>
                <w:rFonts w:hint="eastAsia" w:ascii="仿宋" w:hAnsi="仿宋" w:eastAsia="仿宋" w:cs="仿宋"/>
                <w:color w:val="auto"/>
                <w:sz w:val="24"/>
                <w:szCs w:val="24"/>
                <w:highlight w:val="none"/>
                <w:lang w:val="en-US" w:eastAsia="zh-CN" w:bidi="ar"/>
              </w:rPr>
              <w:t>副局长</w:t>
            </w:r>
          </w:p>
        </w:tc>
        <w:tc>
          <w:tcPr>
            <w:tcW w:w="1117" w:type="pct"/>
            <w:tcBorders>
              <w:tl2br w:val="nil"/>
              <w:tr2bl w:val="nil"/>
            </w:tcBorders>
            <w:shd w:val="clear" w:color="auto" w:fill="auto"/>
            <w:vAlign w:val="center"/>
          </w:tcPr>
          <w:p w14:paraId="1F65B331">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w:t>
            </w:r>
          </w:p>
        </w:tc>
        <w:tc>
          <w:tcPr>
            <w:tcW w:w="1213" w:type="pct"/>
            <w:tcBorders>
              <w:tl2br w:val="nil"/>
              <w:tr2bl w:val="nil"/>
            </w:tcBorders>
            <w:shd w:val="clear" w:color="auto" w:fill="auto"/>
            <w:vAlign w:val="center"/>
          </w:tcPr>
          <w:p w14:paraId="088E4C56">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公安：查处导致水源地突发的事件</w:t>
            </w:r>
          </w:p>
        </w:tc>
      </w:tr>
      <w:tr w14:paraId="5365FE3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25" w:hRule="atLeast"/>
        </w:trPr>
        <w:tc>
          <w:tcPr>
            <w:tcW w:w="493" w:type="pct"/>
            <w:vMerge w:val="restart"/>
            <w:tcBorders>
              <w:tl2br w:val="nil"/>
              <w:tr2bl w:val="nil"/>
            </w:tcBorders>
            <w:shd w:val="clear" w:color="auto" w:fill="auto"/>
            <w:vAlign w:val="center"/>
          </w:tcPr>
          <w:p w14:paraId="4F395097">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eastAsia" w:ascii="仿宋" w:hAnsi="仿宋" w:eastAsia="仿宋" w:cs="仿宋"/>
                <w:color w:val="auto"/>
                <w:sz w:val="24"/>
                <w:szCs w:val="24"/>
                <w:highlight w:val="none"/>
                <w:lang w:val="en-US" w:eastAsia="zh-CN" w:bidi="ar"/>
              </w:rPr>
              <w:t>应急物资保障组</w:t>
            </w:r>
          </w:p>
        </w:tc>
        <w:tc>
          <w:tcPr>
            <w:tcW w:w="758" w:type="pct"/>
            <w:tcBorders>
              <w:tl2br w:val="nil"/>
              <w:tr2bl w:val="nil"/>
            </w:tcBorders>
            <w:shd w:val="clear" w:color="auto" w:fill="auto"/>
            <w:vAlign w:val="center"/>
          </w:tcPr>
          <w:p w14:paraId="4DD693BE">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财政局</w:t>
            </w:r>
          </w:p>
        </w:tc>
        <w:tc>
          <w:tcPr>
            <w:tcW w:w="901" w:type="pct"/>
            <w:tcBorders>
              <w:tl2br w:val="nil"/>
              <w:tr2bl w:val="nil"/>
            </w:tcBorders>
            <w:shd w:val="clear" w:color="auto" w:fill="auto"/>
            <w:vAlign w:val="center"/>
          </w:tcPr>
          <w:p w14:paraId="28A1BA5D">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default"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吕红军</w:t>
            </w:r>
          </w:p>
          <w:p w14:paraId="277764EB">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15904583376</w:t>
            </w:r>
          </w:p>
        </w:tc>
        <w:tc>
          <w:tcPr>
            <w:tcW w:w="515" w:type="pct"/>
            <w:tcBorders>
              <w:tl2br w:val="nil"/>
              <w:tr2bl w:val="nil"/>
            </w:tcBorders>
            <w:shd w:val="clear" w:color="auto" w:fill="auto"/>
            <w:vAlign w:val="center"/>
          </w:tcPr>
          <w:p w14:paraId="739793D3">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财政局局长</w:t>
            </w:r>
          </w:p>
        </w:tc>
        <w:tc>
          <w:tcPr>
            <w:tcW w:w="1117" w:type="pct"/>
            <w:tcBorders>
              <w:tl2br w:val="nil"/>
              <w:tr2bl w:val="nil"/>
            </w:tcBorders>
            <w:shd w:val="clear" w:color="auto" w:fill="auto"/>
            <w:vAlign w:val="center"/>
          </w:tcPr>
          <w:p w14:paraId="019A61F0">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财政：负责保障水源地突发环境事件应急管理工作经费。</w:t>
            </w:r>
          </w:p>
        </w:tc>
        <w:tc>
          <w:tcPr>
            <w:tcW w:w="1213" w:type="pct"/>
            <w:tcBorders>
              <w:tl2br w:val="nil"/>
              <w:tr2bl w:val="nil"/>
            </w:tcBorders>
            <w:shd w:val="clear" w:color="auto" w:fill="auto"/>
            <w:vAlign w:val="center"/>
          </w:tcPr>
          <w:p w14:paraId="2579A07D">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负责保障水源地突发环境事件应急处置期间的费用。</w:t>
            </w:r>
          </w:p>
        </w:tc>
      </w:tr>
      <w:tr w14:paraId="61EEFCE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25" w:hRule="atLeast"/>
        </w:trPr>
        <w:tc>
          <w:tcPr>
            <w:tcW w:w="493" w:type="pct"/>
            <w:vMerge w:val="continue"/>
            <w:tcBorders>
              <w:tl2br w:val="nil"/>
              <w:tr2bl w:val="nil"/>
            </w:tcBorders>
            <w:shd w:val="clear" w:color="auto" w:fill="auto"/>
            <w:vAlign w:val="center"/>
          </w:tcPr>
          <w:p w14:paraId="77B2094C">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p>
        </w:tc>
        <w:tc>
          <w:tcPr>
            <w:tcW w:w="758" w:type="pct"/>
            <w:tcBorders>
              <w:tl2br w:val="nil"/>
              <w:tr2bl w:val="nil"/>
            </w:tcBorders>
            <w:shd w:val="clear" w:color="auto" w:fill="auto"/>
            <w:vAlign w:val="center"/>
          </w:tcPr>
          <w:p w14:paraId="70B19ABE">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自然资源局</w:t>
            </w:r>
          </w:p>
        </w:tc>
        <w:tc>
          <w:tcPr>
            <w:tcW w:w="901" w:type="pct"/>
            <w:tcBorders>
              <w:tl2br w:val="nil"/>
              <w:tr2bl w:val="nil"/>
            </w:tcBorders>
            <w:shd w:val="clear" w:color="auto" w:fill="auto"/>
            <w:vAlign w:val="center"/>
          </w:tcPr>
          <w:p w14:paraId="55C3925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eastAsia" w:ascii="仿宋" w:hAnsi="仿宋" w:eastAsia="仿宋" w:cs="仿宋"/>
                <w:color w:val="auto"/>
                <w:sz w:val="24"/>
                <w:szCs w:val="24"/>
                <w:highlight w:val="none"/>
                <w:lang w:val="en-US" w:eastAsia="zh-CN" w:bidi="ar"/>
              </w:rPr>
              <w:t>穆 雷</w:t>
            </w:r>
            <w:r>
              <w:rPr>
                <w:rStyle w:val="18"/>
                <w:rFonts w:hint="default" w:ascii="仿宋" w:hAnsi="仿宋" w:eastAsia="仿宋" w:cs="仿宋"/>
                <w:color w:val="auto"/>
                <w:sz w:val="24"/>
                <w:szCs w:val="24"/>
                <w:highlight w:val="none"/>
                <w:lang w:val="en-US" w:eastAsia="zh-CN" w:bidi="ar"/>
              </w:rPr>
              <w:t>18324686663</w:t>
            </w:r>
          </w:p>
        </w:tc>
        <w:tc>
          <w:tcPr>
            <w:tcW w:w="515" w:type="pct"/>
            <w:tcBorders>
              <w:tl2br w:val="nil"/>
              <w:tr2bl w:val="nil"/>
            </w:tcBorders>
            <w:shd w:val="clear" w:color="auto" w:fill="auto"/>
            <w:vAlign w:val="center"/>
          </w:tcPr>
          <w:p w14:paraId="3507EEBC">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自然资源局局长</w:t>
            </w:r>
          </w:p>
        </w:tc>
        <w:tc>
          <w:tcPr>
            <w:tcW w:w="1978" w:type="dxa"/>
            <w:tcBorders>
              <w:tl2br w:val="nil"/>
              <w:tr2bl w:val="nil"/>
            </w:tcBorders>
            <w:shd w:val="clear" w:color="auto" w:fill="auto"/>
            <w:vAlign w:val="center"/>
          </w:tcPr>
          <w:p w14:paraId="02FCD5C0">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国土资源：配合市自然资源局规划适用于水源地突发环境事件应急处置的场地</w:t>
            </w:r>
          </w:p>
        </w:tc>
        <w:tc>
          <w:tcPr>
            <w:tcW w:w="2149" w:type="dxa"/>
            <w:tcBorders>
              <w:tl2br w:val="nil"/>
              <w:tr2bl w:val="nil"/>
            </w:tcBorders>
            <w:shd w:val="clear" w:color="auto" w:fill="auto"/>
            <w:vAlign w:val="center"/>
          </w:tcPr>
          <w:p w14:paraId="3AD5945A">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center"/>
              <w:rPr>
                <w:rStyle w:val="15"/>
                <w:rFonts w:hint="eastAsia" w:ascii="仿宋" w:hAnsi="仿宋" w:eastAsia="仿宋" w:cs="仿宋"/>
                <w:color w:val="auto"/>
                <w:sz w:val="24"/>
                <w:szCs w:val="24"/>
                <w:highlight w:val="none"/>
                <w:lang w:val="en-US" w:eastAsia="zh-CN" w:bidi="ar"/>
              </w:rPr>
            </w:pPr>
            <w:r>
              <w:rPr>
                <w:rStyle w:val="15"/>
                <w:rFonts w:hint="eastAsia" w:ascii="仿宋" w:hAnsi="仿宋" w:eastAsia="仿宋" w:cs="仿宋"/>
                <w:color w:val="auto"/>
                <w:sz w:val="24"/>
                <w:szCs w:val="24"/>
                <w:highlight w:val="none"/>
                <w:lang w:val="en-US" w:eastAsia="zh-CN" w:bidi="ar"/>
              </w:rPr>
              <w:t>提供突发环境事件发生地基础地理信息，事件影响范围的遥感影像，为应急处置提供地理信息服务。</w:t>
            </w:r>
          </w:p>
        </w:tc>
      </w:tr>
      <w:tr w14:paraId="5E6FD98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10" w:hRule="atLeast"/>
        </w:trPr>
        <w:tc>
          <w:tcPr>
            <w:tcW w:w="493" w:type="pct"/>
            <w:vMerge w:val="continue"/>
            <w:tcBorders>
              <w:tl2br w:val="nil"/>
              <w:tr2bl w:val="nil"/>
            </w:tcBorders>
            <w:shd w:val="clear" w:color="auto" w:fill="auto"/>
            <w:vAlign w:val="center"/>
          </w:tcPr>
          <w:p w14:paraId="066C468A">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p>
        </w:tc>
        <w:tc>
          <w:tcPr>
            <w:tcW w:w="758" w:type="pct"/>
            <w:tcBorders>
              <w:tl2br w:val="nil"/>
              <w:tr2bl w:val="nil"/>
            </w:tcBorders>
            <w:shd w:val="clear" w:color="auto" w:fill="auto"/>
            <w:vAlign w:val="center"/>
          </w:tcPr>
          <w:p w14:paraId="26D9B135">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卫生健康局</w:t>
            </w:r>
          </w:p>
        </w:tc>
        <w:tc>
          <w:tcPr>
            <w:tcW w:w="901" w:type="pct"/>
            <w:tcBorders>
              <w:tl2br w:val="nil"/>
              <w:tr2bl w:val="nil"/>
            </w:tcBorders>
            <w:shd w:val="clear" w:color="auto" w:fill="auto"/>
            <w:vAlign w:val="center"/>
          </w:tcPr>
          <w:p w14:paraId="1BB92F43">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张 晶15245871133</w:t>
            </w:r>
          </w:p>
        </w:tc>
        <w:tc>
          <w:tcPr>
            <w:tcW w:w="515" w:type="pct"/>
            <w:tcBorders>
              <w:tl2br w:val="nil"/>
              <w:tr2bl w:val="nil"/>
            </w:tcBorders>
            <w:shd w:val="clear" w:color="auto" w:fill="auto"/>
            <w:vAlign w:val="center"/>
          </w:tcPr>
          <w:p w14:paraId="2139D31F">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卫生健康局局长</w:t>
            </w:r>
          </w:p>
        </w:tc>
        <w:tc>
          <w:tcPr>
            <w:tcW w:w="1117" w:type="pct"/>
            <w:tcBorders>
              <w:tl2br w:val="nil"/>
              <w:tr2bl w:val="nil"/>
            </w:tcBorders>
            <w:shd w:val="clear" w:color="auto" w:fill="auto"/>
            <w:vAlign w:val="center"/>
          </w:tcPr>
          <w:p w14:paraId="15FD2FC6">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卫生：负责自来水管网</w:t>
            </w:r>
            <w:r>
              <w:rPr>
                <w:rStyle w:val="18"/>
                <w:rFonts w:hint="eastAsia" w:ascii="仿宋" w:hAnsi="仿宋" w:eastAsia="仿宋" w:cs="仿宋"/>
                <w:color w:val="auto"/>
                <w:sz w:val="24"/>
                <w:szCs w:val="24"/>
                <w:highlight w:val="none"/>
                <w:lang w:val="en-US" w:eastAsia="zh-CN" w:bidi="ar"/>
              </w:rPr>
              <w:t>末梢水水质卫生日常管理，及时上报并通报管网末梢水水质异常信息。</w:t>
            </w:r>
          </w:p>
        </w:tc>
        <w:tc>
          <w:tcPr>
            <w:tcW w:w="1213" w:type="pct"/>
            <w:tcBorders>
              <w:tl2br w:val="nil"/>
              <w:tr2bl w:val="nil"/>
            </w:tcBorders>
            <w:shd w:val="clear" w:color="auto" w:fill="auto"/>
            <w:vAlign w:val="center"/>
          </w:tcPr>
          <w:p w14:paraId="2BDA0B22">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负责管网末梢水水质应急</w:t>
            </w:r>
            <w:r>
              <w:rPr>
                <w:rStyle w:val="18"/>
                <w:rFonts w:hint="eastAsia" w:ascii="仿宋" w:hAnsi="仿宋" w:eastAsia="仿宋" w:cs="仿宋"/>
                <w:color w:val="auto"/>
                <w:sz w:val="24"/>
                <w:szCs w:val="24"/>
                <w:highlight w:val="none"/>
                <w:lang w:val="en-US" w:eastAsia="zh-CN" w:bidi="ar"/>
              </w:rPr>
              <w:t>监测，确保应急期间居民饮水卫生安全。</w:t>
            </w:r>
          </w:p>
        </w:tc>
      </w:tr>
      <w:tr w14:paraId="33706B6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695" w:hRule="atLeast"/>
        </w:trPr>
        <w:tc>
          <w:tcPr>
            <w:tcW w:w="493" w:type="pct"/>
            <w:tcBorders>
              <w:tl2br w:val="nil"/>
              <w:tr2bl w:val="nil"/>
            </w:tcBorders>
            <w:shd w:val="clear" w:color="auto" w:fill="auto"/>
            <w:vAlign w:val="center"/>
          </w:tcPr>
          <w:p w14:paraId="340D3EA5">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eastAsia" w:ascii="仿宋" w:hAnsi="仿宋" w:eastAsia="仿宋" w:cs="仿宋"/>
                <w:color w:val="auto"/>
                <w:sz w:val="24"/>
                <w:szCs w:val="24"/>
                <w:highlight w:val="none"/>
                <w:lang w:val="en-US" w:eastAsia="zh-CN" w:bidi="ar"/>
              </w:rPr>
              <w:t>善后处置组</w:t>
            </w:r>
          </w:p>
        </w:tc>
        <w:tc>
          <w:tcPr>
            <w:tcW w:w="758" w:type="pct"/>
            <w:tcBorders>
              <w:tl2br w:val="nil"/>
              <w:tr2bl w:val="nil"/>
            </w:tcBorders>
            <w:shd w:val="clear" w:color="auto" w:fill="auto"/>
            <w:vAlign w:val="center"/>
          </w:tcPr>
          <w:p w14:paraId="53062886">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交通运输局</w:t>
            </w:r>
          </w:p>
        </w:tc>
        <w:tc>
          <w:tcPr>
            <w:tcW w:w="901" w:type="pct"/>
            <w:tcBorders>
              <w:tl2br w:val="nil"/>
              <w:tr2bl w:val="nil"/>
            </w:tcBorders>
            <w:shd w:val="clear" w:color="auto" w:fill="auto"/>
            <w:vAlign w:val="center"/>
          </w:tcPr>
          <w:p w14:paraId="186A27AE">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eastAsia" w:ascii="仿宋" w:hAnsi="仿宋" w:eastAsia="仿宋" w:cs="仿宋"/>
                <w:color w:val="auto"/>
                <w:sz w:val="24"/>
                <w:szCs w:val="24"/>
                <w:highlight w:val="none"/>
                <w:lang w:val="en-US" w:eastAsia="zh-CN" w:bidi="ar"/>
              </w:rPr>
              <w:t>王世军</w:t>
            </w:r>
            <w:r>
              <w:rPr>
                <w:rStyle w:val="18"/>
                <w:rFonts w:hint="default" w:ascii="仿宋" w:hAnsi="仿宋" w:eastAsia="仿宋" w:cs="仿宋"/>
                <w:color w:val="auto"/>
                <w:sz w:val="24"/>
                <w:szCs w:val="24"/>
                <w:highlight w:val="none"/>
                <w:lang w:val="en-US" w:eastAsia="zh-CN" w:bidi="ar"/>
              </w:rPr>
              <w:t>13766736626</w:t>
            </w:r>
          </w:p>
        </w:tc>
        <w:tc>
          <w:tcPr>
            <w:tcW w:w="515" w:type="pct"/>
            <w:tcBorders>
              <w:tl2br w:val="nil"/>
              <w:tr2bl w:val="nil"/>
            </w:tcBorders>
            <w:shd w:val="clear" w:color="auto" w:fill="auto"/>
            <w:vAlign w:val="center"/>
          </w:tcPr>
          <w:p w14:paraId="09E82362">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交通运输局局长</w:t>
            </w:r>
          </w:p>
        </w:tc>
        <w:tc>
          <w:tcPr>
            <w:tcW w:w="1117" w:type="pct"/>
            <w:tcBorders>
              <w:tl2br w:val="nil"/>
              <w:tr2bl w:val="nil"/>
            </w:tcBorders>
            <w:shd w:val="clear" w:color="auto" w:fill="auto"/>
            <w:vAlign w:val="center"/>
          </w:tcPr>
          <w:p w14:paraId="745131F3">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交通运输：负责危险化</w:t>
            </w:r>
            <w:r>
              <w:rPr>
                <w:rStyle w:val="18"/>
                <w:rFonts w:hint="eastAsia" w:ascii="仿宋" w:hAnsi="仿宋" w:eastAsia="仿宋" w:cs="仿宋"/>
                <w:color w:val="auto"/>
                <w:sz w:val="24"/>
                <w:szCs w:val="24"/>
                <w:highlight w:val="none"/>
                <w:lang w:val="en-US" w:eastAsia="zh-CN" w:bidi="ar"/>
              </w:rPr>
              <w:t>学品运输车辆跨越水源保护区道路桥梁的日常应急管理工作。</w:t>
            </w:r>
          </w:p>
        </w:tc>
        <w:tc>
          <w:tcPr>
            <w:tcW w:w="1213" w:type="pct"/>
            <w:tcBorders>
              <w:tl2br w:val="nil"/>
              <w:tr2bl w:val="nil"/>
            </w:tcBorders>
            <w:shd w:val="clear" w:color="auto" w:fill="auto"/>
            <w:vAlign w:val="center"/>
          </w:tcPr>
          <w:p w14:paraId="4A139491">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协助处置交通事故次生的</w:t>
            </w:r>
            <w:r>
              <w:rPr>
                <w:rStyle w:val="18"/>
                <w:rFonts w:hint="eastAsia" w:ascii="仿宋" w:hAnsi="仿宋" w:eastAsia="仿宋" w:cs="仿宋"/>
                <w:color w:val="auto"/>
                <w:sz w:val="24"/>
                <w:szCs w:val="24"/>
                <w:highlight w:val="none"/>
                <w:lang w:val="en-US" w:eastAsia="zh-CN" w:bidi="ar"/>
              </w:rPr>
              <w:t>水源地突发环境事件，负责保障应急物资运输车辆快速通行</w:t>
            </w:r>
          </w:p>
        </w:tc>
      </w:tr>
      <w:tr w14:paraId="54D960E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50" w:hRule="atLeast"/>
        </w:trPr>
        <w:tc>
          <w:tcPr>
            <w:tcW w:w="493" w:type="pct"/>
            <w:tcBorders>
              <w:tl2br w:val="nil"/>
              <w:tr2bl w:val="nil"/>
            </w:tcBorders>
            <w:shd w:val="clear" w:color="auto" w:fill="auto"/>
            <w:vAlign w:val="center"/>
          </w:tcPr>
          <w:p w14:paraId="0CDDC7C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eastAsia" w:ascii="仿宋" w:hAnsi="仿宋" w:eastAsia="仿宋" w:cs="仿宋"/>
                <w:color w:val="auto"/>
                <w:sz w:val="24"/>
                <w:szCs w:val="24"/>
                <w:highlight w:val="none"/>
                <w:lang w:val="en-US" w:eastAsia="zh-CN" w:bidi="ar"/>
              </w:rPr>
              <w:t>新闻宣传组</w:t>
            </w:r>
          </w:p>
        </w:tc>
        <w:tc>
          <w:tcPr>
            <w:tcW w:w="758" w:type="pct"/>
            <w:tcBorders>
              <w:tl2br w:val="nil"/>
              <w:tr2bl w:val="nil"/>
            </w:tcBorders>
            <w:shd w:val="clear" w:color="auto" w:fill="auto"/>
            <w:vAlign w:val="center"/>
          </w:tcPr>
          <w:p w14:paraId="3920A560">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宣传部</w:t>
            </w:r>
          </w:p>
        </w:tc>
        <w:tc>
          <w:tcPr>
            <w:tcW w:w="901" w:type="pct"/>
            <w:tcBorders>
              <w:tl2br w:val="nil"/>
              <w:tr2bl w:val="nil"/>
            </w:tcBorders>
            <w:shd w:val="clear" w:color="auto" w:fill="auto"/>
            <w:vAlign w:val="center"/>
          </w:tcPr>
          <w:p w14:paraId="7236B8DB">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王春苏13766737363</w:t>
            </w:r>
          </w:p>
        </w:tc>
        <w:tc>
          <w:tcPr>
            <w:tcW w:w="515" w:type="pct"/>
            <w:tcBorders>
              <w:tl2br w:val="nil"/>
              <w:tr2bl w:val="nil"/>
            </w:tcBorders>
            <w:shd w:val="clear" w:color="auto" w:fill="auto"/>
            <w:vAlign w:val="center"/>
          </w:tcPr>
          <w:p w14:paraId="30BCAFDF">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color w:val="auto"/>
                <w:sz w:val="24"/>
                <w:szCs w:val="24"/>
                <w:highlight w:val="none"/>
                <w:lang w:val="en-US" w:eastAsia="zh-CN" w:bidi="ar"/>
              </w:rPr>
            </w:pPr>
            <w:r>
              <w:rPr>
                <w:rStyle w:val="18"/>
                <w:rFonts w:hint="default" w:ascii="仿宋" w:hAnsi="仿宋" w:eastAsia="仿宋" w:cs="仿宋"/>
                <w:color w:val="auto"/>
                <w:sz w:val="24"/>
                <w:szCs w:val="24"/>
                <w:highlight w:val="none"/>
                <w:lang w:val="en-US" w:eastAsia="zh-CN" w:bidi="ar"/>
              </w:rPr>
              <w:t>宣传部副部长</w:t>
            </w:r>
          </w:p>
        </w:tc>
        <w:tc>
          <w:tcPr>
            <w:tcW w:w="1117" w:type="pct"/>
            <w:tcBorders>
              <w:tl2br w:val="nil"/>
              <w:tr2bl w:val="nil"/>
            </w:tcBorders>
            <w:shd w:val="clear" w:color="auto" w:fill="auto"/>
            <w:vAlign w:val="center"/>
          </w:tcPr>
          <w:p w14:paraId="4E19FB5E">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信息发布：对外发布事</w:t>
            </w:r>
            <w:r>
              <w:rPr>
                <w:rStyle w:val="18"/>
                <w:rFonts w:hint="eastAsia" w:ascii="仿宋" w:hAnsi="仿宋" w:eastAsia="仿宋" w:cs="仿宋"/>
                <w:color w:val="auto"/>
                <w:sz w:val="24"/>
                <w:szCs w:val="24"/>
                <w:highlight w:val="none"/>
                <w:lang w:val="en-US" w:eastAsia="zh-CN" w:bidi="ar"/>
              </w:rPr>
              <w:t>件信息及应急处置进展情况。</w:t>
            </w:r>
          </w:p>
        </w:tc>
        <w:tc>
          <w:tcPr>
            <w:tcW w:w="1213" w:type="pct"/>
            <w:tcBorders>
              <w:tl2br w:val="nil"/>
              <w:tr2bl w:val="nil"/>
            </w:tcBorders>
            <w:shd w:val="clear" w:color="auto" w:fill="auto"/>
            <w:vAlign w:val="center"/>
          </w:tcPr>
          <w:p w14:paraId="48CF0801">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协助组织区指挥部提供的</w:t>
            </w:r>
            <w:r>
              <w:rPr>
                <w:rStyle w:val="18"/>
                <w:rFonts w:hint="eastAsia" w:ascii="仿宋" w:hAnsi="仿宋" w:eastAsia="仿宋" w:cs="仿宋"/>
                <w:color w:val="auto"/>
                <w:sz w:val="24"/>
                <w:szCs w:val="24"/>
                <w:highlight w:val="none"/>
                <w:lang w:val="en-US" w:eastAsia="zh-CN" w:bidi="ar"/>
              </w:rPr>
              <w:t>准确、权威信息统一发布，确保信息准确、及时传递，正确引导社会舆论。事件发生的第一时间要向社会发布简要信息，随后发布初步核实情况、政府应对措施等，并根据事件处置情况做好后续发布工作。</w:t>
            </w:r>
          </w:p>
        </w:tc>
      </w:tr>
    </w:tbl>
    <w:p w14:paraId="7B43B2D5">
      <w:pPr>
        <w:keepNext w:val="0"/>
        <w:keepLines w:val="0"/>
        <w:pageBreakBefore w:val="0"/>
        <w:widowControl/>
        <w:kinsoku/>
        <w:wordWrap/>
        <w:overflowPunct/>
        <w:topLinePunct w:val="0"/>
        <w:autoSpaceDE w:val="0"/>
        <w:autoSpaceDN w:val="0"/>
        <w:bidi w:val="0"/>
        <w:adjustRightInd w:val="0"/>
        <w:snapToGrid w:val="0"/>
        <w:spacing w:before="221" w:line="215" w:lineRule="auto"/>
        <w:ind w:left="597"/>
        <w:outlineLvl w:val="1"/>
        <w:rPr>
          <w:rFonts w:ascii="楷体" w:hAnsi="楷体" w:eastAsia="楷体" w:cs="楷体"/>
          <w:color w:val="auto"/>
          <w:spacing w:val="0"/>
          <w:w w:val="100"/>
          <w:position w:val="0"/>
          <w:sz w:val="28"/>
          <w:szCs w:val="28"/>
          <w:highlight w:val="none"/>
        </w:rPr>
      </w:pPr>
      <w:bookmarkStart w:id="305" w:name="_Toc27381"/>
      <w:bookmarkStart w:id="306" w:name="_Toc23240"/>
      <w:bookmarkStart w:id="307" w:name="_Toc12174"/>
      <w:bookmarkStart w:id="308" w:name="_Toc24943"/>
      <w:bookmarkStart w:id="309" w:name="_Toc28856"/>
      <w:bookmarkStart w:id="310" w:name="_Toc16483"/>
      <w:bookmarkStart w:id="311" w:name="_Toc27801"/>
      <w:r>
        <w:rPr>
          <w:rFonts w:ascii="楷体" w:hAnsi="楷体" w:eastAsia="楷体" w:cs="楷体"/>
          <w:color w:val="auto"/>
          <w:spacing w:val="0"/>
          <w:w w:val="100"/>
          <w:position w:val="0"/>
          <w:sz w:val="28"/>
          <w:szCs w:val="28"/>
          <w:highlight w:val="none"/>
        </w:rPr>
        <w:t>7.2应急专家库通讯录</w:t>
      </w:r>
      <w:bookmarkEnd w:id="305"/>
      <w:bookmarkEnd w:id="306"/>
      <w:bookmarkEnd w:id="307"/>
      <w:bookmarkEnd w:id="308"/>
      <w:bookmarkEnd w:id="309"/>
      <w:bookmarkEnd w:id="310"/>
      <w:bookmarkEnd w:id="311"/>
    </w:p>
    <w:p w14:paraId="5E4C52A8">
      <w:pPr>
        <w:keepNext w:val="0"/>
        <w:keepLines w:val="0"/>
        <w:pageBreakBefore w:val="0"/>
        <w:widowControl/>
        <w:kinsoku/>
        <w:wordWrap/>
        <w:overflowPunct/>
        <w:topLinePunct w:val="0"/>
        <w:autoSpaceDE w:val="0"/>
        <w:autoSpaceDN w:val="0"/>
        <w:bidi w:val="0"/>
        <w:adjustRightInd w:val="0"/>
        <w:snapToGrid w:val="0"/>
        <w:spacing w:before="255" w:line="228" w:lineRule="auto"/>
        <w:ind w:left="2488"/>
        <w:rPr>
          <w:rFonts w:ascii="仿宋_GB2312" w:hAnsi="仿宋_GB2312" w:eastAsia="仿宋_GB2312" w:cs="仿宋_GB2312"/>
          <w:color w:val="auto"/>
          <w:spacing w:val="0"/>
          <w:w w:val="100"/>
          <w:position w:val="0"/>
          <w:sz w:val="28"/>
          <w:szCs w:val="28"/>
          <w:highlight w:val="none"/>
        </w:rPr>
      </w:pPr>
      <w:r>
        <w:rPr>
          <w:rFonts w:ascii="仿宋_GB2312" w:hAnsi="仿宋_GB2312" w:eastAsia="仿宋_GB2312" w:cs="仿宋_GB2312"/>
          <w:color w:val="auto"/>
          <w:spacing w:val="0"/>
          <w:w w:val="100"/>
          <w:position w:val="0"/>
          <w:sz w:val="28"/>
          <w:szCs w:val="28"/>
          <w:highlight w:val="none"/>
        </w:rPr>
        <w:t>表</w:t>
      </w:r>
      <w:r>
        <w:rPr>
          <w:rFonts w:ascii="Times New Roman" w:hAnsi="Times New Roman" w:eastAsia="Times New Roman" w:cs="Times New Roman"/>
          <w:color w:val="auto"/>
          <w:spacing w:val="0"/>
          <w:w w:val="100"/>
          <w:position w:val="0"/>
          <w:sz w:val="28"/>
          <w:szCs w:val="28"/>
          <w:highlight w:val="none"/>
        </w:rPr>
        <w:t>2</w:t>
      </w:r>
      <w:r>
        <w:rPr>
          <w:rFonts w:ascii="仿宋_GB2312" w:hAnsi="仿宋_GB2312" w:eastAsia="仿宋_GB2312" w:cs="仿宋_GB2312"/>
          <w:color w:val="auto"/>
          <w:spacing w:val="0"/>
          <w:w w:val="100"/>
          <w:position w:val="0"/>
          <w:sz w:val="28"/>
          <w:szCs w:val="28"/>
          <w:highlight w:val="none"/>
        </w:rPr>
        <w:t>乌翠区环境应急专家库通讯录</w:t>
      </w:r>
    </w:p>
    <w:p w14:paraId="7FA25E1C">
      <w:pPr>
        <w:keepNext w:val="0"/>
        <w:keepLines w:val="0"/>
        <w:pageBreakBefore w:val="0"/>
        <w:widowControl/>
        <w:kinsoku/>
        <w:wordWrap/>
        <w:overflowPunct/>
        <w:topLinePunct w:val="0"/>
        <w:autoSpaceDE w:val="0"/>
        <w:autoSpaceDN w:val="0"/>
        <w:bidi w:val="0"/>
        <w:adjustRightInd w:val="0"/>
        <w:snapToGrid w:val="0"/>
        <w:spacing w:line="108" w:lineRule="auto"/>
        <w:rPr>
          <w:rFonts w:ascii="Arial"/>
          <w:color w:val="auto"/>
          <w:spacing w:val="0"/>
          <w:w w:val="100"/>
          <w:position w:val="0"/>
          <w:sz w:val="2"/>
          <w:highlight w:val="none"/>
        </w:rPr>
      </w:pPr>
    </w:p>
    <w:tbl>
      <w:tblPr>
        <w:tblStyle w:val="13"/>
        <w:tblW w:w="919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8"/>
        <w:gridCol w:w="3928"/>
        <w:gridCol w:w="2165"/>
        <w:gridCol w:w="2162"/>
      </w:tblGrid>
      <w:tr w14:paraId="08843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938" w:type="dxa"/>
            <w:tcBorders>
              <w:top w:val="single" w:color="000000" w:sz="10" w:space="0"/>
              <w:left w:val="nil"/>
            </w:tcBorders>
            <w:vAlign w:val="top"/>
          </w:tcPr>
          <w:p w14:paraId="415CABB1">
            <w:pPr>
              <w:pStyle w:val="14"/>
              <w:keepNext w:val="0"/>
              <w:keepLines w:val="0"/>
              <w:pageBreakBefore w:val="0"/>
              <w:widowControl/>
              <w:kinsoku/>
              <w:wordWrap/>
              <w:overflowPunct/>
              <w:topLinePunct w:val="0"/>
              <w:autoSpaceDE w:val="0"/>
              <w:autoSpaceDN w:val="0"/>
              <w:bidi w:val="0"/>
              <w:adjustRightInd w:val="0"/>
              <w:snapToGrid w:val="0"/>
              <w:spacing w:before="35" w:line="204" w:lineRule="auto"/>
              <w:ind w:left="277"/>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序号</w:t>
            </w:r>
          </w:p>
        </w:tc>
        <w:tc>
          <w:tcPr>
            <w:tcW w:w="3928" w:type="dxa"/>
            <w:tcBorders>
              <w:top w:val="single" w:color="000000" w:sz="10" w:space="0"/>
            </w:tcBorders>
            <w:vAlign w:val="top"/>
          </w:tcPr>
          <w:p w14:paraId="648E7B96">
            <w:pPr>
              <w:pStyle w:val="14"/>
              <w:keepNext w:val="0"/>
              <w:keepLines w:val="0"/>
              <w:pageBreakBefore w:val="0"/>
              <w:widowControl/>
              <w:kinsoku/>
              <w:wordWrap/>
              <w:overflowPunct/>
              <w:topLinePunct w:val="0"/>
              <w:autoSpaceDE w:val="0"/>
              <w:autoSpaceDN w:val="0"/>
              <w:bidi w:val="0"/>
              <w:adjustRightInd w:val="0"/>
              <w:snapToGrid w:val="0"/>
              <w:spacing w:before="35" w:line="204" w:lineRule="auto"/>
              <w:ind w:left="1768"/>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单位</w:t>
            </w:r>
          </w:p>
        </w:tc>
        <w:tc>
          <w:tcPr>
            <w:tcW w:w="2165" w:type="dxa"/>
            <w:tcBorders>
              <w:top w:val="single" w:color="000000" w:sz="10" w:space="0"/>
            </w:tcBorders>
            <w:vAlign w:val="top"/>
          </w:tcPr>
          <w:p w14:paraId="746C40FB">
            <w:pPr>
              <w:pStyle w:val="14"/>
              <w:keepNext w:val="0"/>
              <w:keepLines w:val="0"/>
              <w:pageBreakBefore w:val="0"/>
              <w:widowControl/>
              <w:kinsoku/>
              <w:wordWrap/>
              <w:overflowPunct/>
              <w:topLinePunct w:val="0"/>
              <w:autoSpaceDE w:val="0"/>
              <w:autoSpaceDN w:val="0"/>
              <w:bidi w:val="0"/>
              <w:adjustRightInd w:val="0"/>
              <w:snapToGrid w:val="0"/>
              <w:spacing w:before="35" w:line="204" w:lineRule="auto"/>
              <w:ind w:left="882"/>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姓名</w:t>
            </w:r>
          </w:p>
        </w:tc>
        <w:tc>
          <w:tcPr>
            <w:tcW w:w="2162" w:type="dxa"/>
            <w:tcBorders>
              <w:top w:val="single" w:color="000000" w:sz="10" w:space="0"/>
              <w:right w:val="nil"/>
            </w:tcBorders>
            <w:vAlign w:val="top"/>
          </w:tcPr>
          <w:p w14:paraId="6B93E03B">
            <w:pPr>
              <w:pStyle w:val="14"/>
              <w:keepNext w:val="0"/>
              <w:keepLines w:val="0"/>
              <w:pageBreakBefore w:val="0"/>
              <w:widowControl/>
              <w:kinsoku/>
              <w:wordWrap/>
              <w:overflowPunct/>
              <w:topLinePunct w:val="0"/>
              <w:autoSpaceDE w:val="0"/>
              <w:autoSpaceDN w:val="0"/>
              <w:bidi w:val="0"/>
              <w:adjustRightInd w:val="0"/>
              <w:snapToGrid w:val="0"/>
              <w:spacing w:before="35" w:line="204" w:lineRule="auto"/>
              <w:ind w:left="905"/>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电话</w:t>
            </w:r>
          </w:p>
        </w:tc>
      </w:tr>
      <w:tr w14:paraId="2497E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938" w:type="dxa"/>
            <w:tcBorders>
              <w:left w:val="nil"/>
            </w:tcBorders>
            <w:vAlign w:val="top"/>
          </w:tcPr>
          <w:p w14:paraId="67FC3EBD">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1</w:t>
            </w:r>
          </w:p>
        </w:tc>
        <w:tc>
          <w:tcPr>
            <w:tcW w:w="3928" w:type="dxa"/>
            <w:shd w:val="clear" w:color="auto" w:fill="FFFFFF" w:themeFill="background1"/>
            <w:vAlign w:val="top"/>
          </w:tcPr>
          <w:p w14:paraId="308205B7">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林草局（农业农村局）</w:t>
            </w:r>
          </w:p>
        </w:tc>
        <w:tc>
          <w:tcPr>
            <w:tcW w:w="2165" w:type="dxa"/>
            <w:shd w:val="clear" w:color="auto" w:fill="FFFFFF" w:themeFill="background1"/>
            <w:vAlign w:val="center"/>
          </w:tcPr>
          <w:p w14:paraId="736BBDD6">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徐钊</w:t>
            </w:r>
          </w:p>
        </w:tc>
        <w:tc>
          <w:tcPr>
            <w:tcW w:w="2162" w:type="dxa"/>
            <w:tcBorders>
              <w:right w:val="nil"/>
            </w:tcBorders>
            <w:vAlign w:val="top"/>
          </w:tcPr>
          <w:p w14:paraId="1B9CCDBF">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13766749088</w:t>
            </w:r>
          </w:p>
        </w:tc>
      </w:tr>
      <w:tr w14:paraId="0C595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938" w:type="dxa"/>
            <w:tcBorders>
              <w:left w:val="nil"/>
            </w:tcBorders>
            <w:vAlign w:val="top"/>
          </w:tcPr>
          <w:p w14:paraId="1483CFFB">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2</w:t>
            </w:r>
          </w:p>
        </w:tc>
        <w:tc>
          <w:tcPr>
            <w:tcW w:w="3928" w:type="dxa"/>
            <w:shd w:val="clear" w:color="auto" w:fill="FFFFFF" w:themeFill="background1"/>
            <w:vAlign w:val="top"/>
          </w:tcPr>
          <w:p w14:paraId="0E43E234">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hint="eastAsia"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水务局</w:t>
            </w:r>
          </w:p>
        </w:tc>
        <w:tc>
          <w:tcPr>
            <w:tcW w:w="2165" w:type="dxa"/>
            <w:shd w:val="clear" w:color="auto" w:fill="FFFFFF" w:themeFill="background1"/>
            <w:vAlign w:val="center"/>
          </w:tcPr>
          <w:p w14:paraId="3A4BDF0A">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eastAsia" w:ascii="仿宋" w:hAnsi="仿宋" w:eastAsia="仿宋" w:cs="仿宋"/>
                <w:snapToGrid w:val="0"/>
                <w:color w:val="auto"/>
                <w:kern w:val="0"/>
                <w:sz w:val="24"/>
                <w:szCs w:val="24"/>
                <w:highlight w:val="none"/>
                <w:lang w:val="en-US" w:eastAsia="zh-CN" w:bidi="ar"/>
              </w:rPr>
              <w:t>白帆</w:t>
            </w:r>
          </w:p>
        </w:tc>
        <w:tc>
          <w:tcPr>
            <w:tcW w:w="2162" w:type="dxa"/>
            <w:tcBorders>
              <w:right w:val="nil"/>
            </w:tcBorders>
            <w:vAlign w:val="top"/>
          </w:tcPr>
          <w:p w14:paraId="02149FC3">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eastAsia" w:ascii="仿宋" w:hAnsi="仿宋" w:eastAsia="仿宋" w:cs="仿宋"/>
                <w:snapToGrid w:val="0"/>
                <w:color w:val="auto"/>
                <w:kern w:val="0"/>
                <w:sz w:val="24"/>
                <w:szCs w:val="24"/>
                <w:highlight w:val="none"/>
                <w:lang w:val="en-US" w:eastAsia="zh-CN" w:bidi="ar"/>
              </w:rPr>
              <w:t>18104586669</w:t>
            </w:r>
          </w:p>
        </w:tc>
      </w:tr>
      <w:tr w14:paraId="4B096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938" w:type="dxa"/>
            <w:tcBorders>
              <w:left w:val="nil"/>
            </w:tcBorders>
            <w:vAlign w:val="top"/>
          </w:tcPr>
          <w:p w14:paraId="72F0534D">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3</w:t>
            </w:r>
          </w:p>
        </w:tc>
        <w:tc>
          <w:tcPr>
            <w:tcW w:w="3928" w:type="dxa"/>
            <w:vAlign w:val="top"/>
          </w:tcPr>
          <w:p w14:paraId="44EFDD15">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卫生健康局</w:t>
            </w:r>
          </w:p>
        </w:tc>
        <w:tc>
          <w:tcPr>
            <w:tcW w:w="2165" w:type="dxa"/>
            <w:vAlign w:val="center"/>
          </w:tcPr>
          <w:p w14:paraId="1353CD4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张晶</w:t>
            </w:r>
          </w:p>
        </w:tc>
        <w:tc>
          <w:tcPr>
            <w:tcW w:w="2162" w:type="dxa"/>
            <w:tcBorders>
              <w:right w:val="nil"/>
            </w:tcBorders>
            <w:vAlign w:val="top"/>
          </w:tcPr>
          <w:p w14:paraId="2CDF418F">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15245871133</w:t>
            </w:r>
          </w:p>
        </w:tc>
      </w:tr>
      <w:tr w14:paraId="611F7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938" w:type="dxa"/>
            <w:tcBorders>
              <w:left w:val="nil"/>
            </w:tcBorders>
            <w:vAlign w:val="top"/>
          </w:tcPr>
          <w:p w14:paraId="6A2CA20A">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4</w:t>
            </w:r>
          </w:p>
        </w:tc>
        <w:tc>
          <w:tcPr>
            <w:tcW w:w="3928" w:type="dxa"/>
            <w:vAlign w:val="top"/>
          </w:tcPr>
          <w:p w14:paraId="11A0DC01">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生态环境局</w:t>
            </w:r>
          </w:p>
        </w:tc>
        <w:tc>
          <w:tcPr>
            <w:tcW w:w="2165" w:type="dxa"/>
            <w:vAlign w:val="center"/>
          </w:tcPr>
          <w:p w14:paraId="1230A3E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eastAsia" w:ascii="仿宋" w:hAnsi="仿宋" w:eastAsia="仿宋" w:cs="仿宋"/>
                <w:snapToGrid w:val="0"/>
                <w:color w:val="auto"/>
                <w:kern w:val="0"/>
                <w:sz w:val="24"/>
                <w:szCs w:val="24"/>
                <w:highlight w:val="none"/>
                <w:lang w:val="en-US" w:eastAsia="zh-CN" w:bidi="ar"/>
              </w:rPr>
              <w:t>李海钰</w:t>
            </w:r>
          </w:p>
        </w:tc>
        <w:tc>
          <w:tcPr>
            <w:tcW w:w="2162" w:type="dxa"/>
            <w:tcBorders>
              <w:right w:val="nil"/>
            </w:tcBorders>
            <w:vAlign w:val="top"/>
          </w:tcPr>
          <w:p w14:paraId="24CF5C23">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138</w:t>
            </w:r>
            <w:r>
              <w:rPr>
                <w:rStyle w:val="18"/>
                <w:rFonts w:hint="eastAsia" w:ascii="仿宋" w:hAnsi="仿宋" w:eastAsia="仿宋" w:cs="仿宋"/>
                <w:snapToGrid w:val="0"/>
                <w:color w:val="auto"/>
                <w:kern w:val="0"/>
                <w:sz w:val="24"/>
                <w:szCs w:val="24"/>
                <w:highlight w:val="none"/>
                <w:lang w:val="en-US" w:eastAsia="zh-CN" w:bidi="ar"/>
              </w:rPr>
              <w:t>46670894</w:t>
            </w:r>
          </w:p>
        </w:tc>
      </w:tr>
      <w:tr w14:paraId="75900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938" w:type="dxa"/>
            <w:tcBorders>
              <w:left w:val="nil"/>
              <w:bottom w:val="single" w:color="000000" w:sz="10" w:space="0"/>
            </w:tcBorders>
            <w:vAlign w:val="top"/>
          </w:tcPr>
          <w:p w14:paraId="6B656F8B">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ascii="仿宋" w:hAnsi="仿宋" w:eastAsia="仿宋" w:cs="仿宋"/>
                <w:snapToGrid w:val="0"/>
                <w:color w:val="auto"/>
                <w:kern w:val="0"/>
                <w:sz w:val="24"/>
                <w:szCs w:val="24"/>
                <w:highlight w:val="none"/>
                <w:lang w:val="en-US" w:eastAsia="zh-CN" w:bidi="ar"/>
              </w:rPr>
              <w:t>5</w:t>
            </w:r>
          </w:p>
        </w:tc>
        <w:tc>
          <w:tcPr>
            <w:tcW w:w="3928" w:type="dxa"/>
            <w:tcBorders>
              <w:bottom w:val="single" w:color="000000" w:sz="10" w:space="0"/>
            </w:tcBorders>
            <w:vAlign w:val="top"/>
          </w:tcPr>
          <w:p w14:paraId="029FA5EA">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自然资源局</w:t>
            </w:r>
          </w:p>
        </w:tc>
        <w:tc>
          <w:tcPr>
            <w:tcW w:w="2165" w:type="dxa"/>
            <w:tcBorders>
              <w:bottom w:val="single" w:color="000000" w:sz="10" w:space="0"/>
            </w:tcBorders>
            <w:vAlign w:val="center"/>
          </w:tcPr>
          <w:p w14:paraId="1406BF7A">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eastAsia" w:ascii="仿宋" w:hAnsi="仿宋" w:eastAsia="仿宋" w:cs="仿宋"/>
                <w:snapToGrid w:val="0"/>
                <w:color w:val="auto"/>
                <w:kern w:val="0"/>
                <w:sz w:val="24"/>
                <w:szCs w:val="24"/>
                <w:highlight w:val="none"/>
                <w:lang w:val="en-US" w:eastAsia="zh-CN" w:bidi="ar"/>
              </w:rPr>
              <w:t>穆 雷</w:t>
            </w:r>
          </w:p>
        </w:tc>
        <w:tc>
          <w:tcPr>
            <w:tcW w:w="2162" w:type="dxa"/>
            <w:tcBorders>
              <w:bottom w:val="single" w:color="000000" w:sz="10" w:space="0"/>
              <w:right w:val="nil"/>
            </w:tcBorders>
            <w:vAlign w:val="top"/>
          </w:tcPr>
          <w:p w14:paraId="474E4369">
            <w:pPr>
              <w:keepNext w:val="0"/>
              <w:keepLines w:val="0"/>
              <w:pageBreakBefore w:val="0"/>
              <w:widowControl/>
              <w:suppressLineNumbers w:val="0"/>
              <w:kinsoku/>
              <w:wordWrap/>
              <w:overflowPunct/>
              <w:topLinePunct w:val="0"/>
              <w:autoSpaceDE w:val="0"/>
              <w:autoSpaceDN w:val="0"/>
              <w:bidi w:val="0"/>
              <w:adjustRightInd w:val="0"/>
              <w:snapToGrid w:val="0"/>
              <w:jc w:val="center"/>
              <w:textAlignment w:val="top"/>
              <w:rPr>
                <w:rStyle w:val="18"/>
                <w:rFonts w:ascii="仿宋" w:hAnsi="仿宋" w:eastAsia="仿宋" w:cs="仿宋"/>
                <w:snapToGrid w:val="0"/>
                <w:color w:val="auto"/>
                <w:kern w:val="0"/>
                <w:sz w:val="24"/>
                <w:szCs w:val="24"/>
                <w:highlight w:val="none"/>
                <w:lang w:val="en-US" w:eastAsia="zh-CN" w:bidi="ar"/>
              </w:rPr>
            </w:pPr>
            <w:r>
              <w:rPr>
                <w:rStyle w:val="18"/>
                <w:rFonts w:hint="default" w:ascii="仿宋" w:hAnsi="仿宋" w:eastAsia="仿宋" w:cs="仿宋"/>
                <w:snapToGrid w:val="0"/>
                <w:color w:val="auto"/>
                <w:kern w:val="0"/>
                <w:sz w:val="24"/>
                <w:szCs w:val="24"/>
                <w:highlight w:val="none"/>
                <w:lang w:val="en-US" w:eastAsia="zh-CN" w:bidi="ar"/>
              </w:rPr>
              <w:t>18324686663</w:t>
            </w:r>
          </w:p>
        </w:tc>
      </w:tr>
    </w:tbl>
    <w:p w14:paraId="34262303">
      <w:pPr>
        <w:keepNext w:val="0"/>
        <w:keepLines w:val="0"/>
        <w:pageBreakBefore w:val="0"/>
        <w:widowControl/>
        <w:kinsoku/>
        <w:wordWrap/>
        <w:overflowPunct/>
        <w:topLinePunct w:val="0"/>
        <w:autoSpaceDE w:val="0"/>
        <w:autoSpaceDN w:val="0"/>
        <w:bidi w:val="0"/>
        <w:adjustRightInd w:val="0"/>
        <w:snapToGrid w:val="0"/>
        <w:spacing w:before="91" w:line="382" w:lineRule="auto"/>
        <w:ind w:firstLine="572"/>
        <w:jc w:val="both"/>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乌翠区各管理</w:t>
      </w:r>
      <w:r>
        <w:rPr>
          <w:rFonts w:hint="eastAsia" w:ascii="仿宋" w:hAnsi="仿宋" w:eastAsia="仿宋" w:cs="仿宋"/>
          <w:color w:val="auto"/>
          <w:spacing w:val="0"/>
          <w:w w:val="100"/>
          <w:position w:val="0"/>
          <w:sz w:val="28"/>
          <w:szCs w:val="28"/>
          <w:highlight w:val="none"/>
          <w:lang w:eastAsia="zh-CN"/>
        </w:rPr>
        <w:t>部门</w:t>
      </w:r>
      <w:r>
        <w:rPr>
          <w:rFonts w:ascii="仿宋" w:hAnsi="仿宋" w:eastAsia="仿宋" w:cs="仿宋"/>
          <w:color w:val="auto"/>
          <w:spacing w:val="0"/>
          <w:w w:val="100"/>
          <w:position w:val="0"/>
          <w:sz w:val="28"/>
          <w:szCs w:val="28"/>
          <w:highlight w:val="none"/>
        </w:rPr>
        <w:t>按照属地管理参与应急组织工作；同时对照区级集中式饮用水水源地突发环境事件应急工作安排，做好本级集中式饮用水水源地突发环境事件应急工作部署。</w:t>
      </w:r>
    </w:p>
    <w:p w14:paraId="21D38974">
      <w:pPr>
        <w:keepNext w:val="0"/>
        <w:keepLines w:val="0"/>
        <w:pageBreakBefore w:val="0"/>
        <w:widowControl/>
        <w:kinsoku/>
        <w:wordWrap/>
        <w:overflowPunct/>
        <w:topLinePunct w:val="0"/>
        <w:autoSpaceDE w:val="0"/>
        <w:autoSpaceDN w:val="0"/>
        <w:bidi w:val="0"/>
        <w:adjustRightInd w:val="0"/>
        <w:snapToGrid w:val="0"/>
        <w:spacing w:line="382" w:lineRule="auto"/>
        <w:rPr>
          <w:rFonts w:ascii="仿宋" w:hAnsi="仿宋" w:eastAsia="仿宋" w:cs="仿宋"/>
          <w:color w:val="auto"/>
          <w:spacing w:val="0"/>
          <w:w w:val="100"/>
          <w:position w:val="0"/>
          <w:sz w:val="28"/>
          <w:szCs w:val="28"/>
          <w:highlight w:val="none"/>
        </w:rPr>
        <w:sectPr>
          <w:footerReference r:id="rId6" w:type="default"/>
          <w:pgSz w:w="12240" w:h="15840"/>
          <w:pgMar w:top="1440" w:right="1800" w:bottom="1440" w:left="1800" w:header="0" w:footer="1509" w:gutter="0"/>
          <w:pgNumType w:fmt="decimal"/>
          <w:cols w:space="720" w:num="1"/>
        </w:sectPr>
      </w:pPr>
    </w:p>
    <w:p w14:paraId="07DB1DDF">
      <w:pPr>
        <w:pStyle w:val="3"/>
        <w:keepNext w:val="0"/>
        <w:keepLines w:val="0"/>
        <w:pageBreakBefore w:val="0"/>
        <w:widowControl/>
        <w:kinsoku/>
        <w:wordWrap/>
        <w:overflowPunct/>
        <w:topLinePunct w:val="0"/>
        <w:autoSpaceDE w:val="0"/>
        <w:autoSpaceDN w:val="0"/>
        <w:bidi w:val="0"/>
        <w:adjustRightInd w:val="0"/>
        <w:snapToGrid w:val="0"/>
        <w:spacing w:line="260" w:lineRule="auto"/>
        <w:rPr>
          <w:color w:val="auto"/>
          <w:spacing w:val="0"/>
          <w:w w:val="100"/>
          <w:position w:val="0"/>
          <w:highlight w:val="none"/>
        </w:rPr>
      </w:pPr>
    </w:p>
    <w:p w14:paraId="6EA49505">
      <w:pPr>
        <w:pStyle w:val="3"/>
        <w:keepNext w:val="0"/>
        <w:keepLines w:val="0"/>
        <w:pageBreakBefore w:val="0"/>
        <w:widowControl/>
        <w:kinsoku/>
        <w:wordWrap/>
        <w:overflowPunct/>
        <w:topLinePunct w:val="0"/>
        <w:autoSpaceDE w:val="0"/>
        <w:autoSpaceDN w:val="0"/>
        <w:bidi w:val="0"/>
        <w:adjustRightInd w:val="0"/>
        <w:snapToGrid w:val="0"/>
        <w:spacing w:line="260" w:lineRule="auto"/>
        <w:rPr>
          <w:color w:val="auto"/>
          <w:spacing w:val="0"/>
          <w:w w:val="100"/>
          <w:position w:val="0"/>
          <w:highlight w:val="none"/>
        </w:rPr>
      </w:pPr>
    </w:p>
    <w:p w14:paraId="2640020F">
      <w:pPr>
        <w:pStyle w:val="3"/>
        <w:keepNext w:val="0"/>
        <w:keepLines w:val="0"/>
        <w:pageBreakBefore w:val="0"/>
        <w:widowControl/>
        <w:kinsoku/>
        <w:wordWrap/>
        <w:overflowPunct/>
        <w:topLinePunct w:val="0"/>
        <w:autoSpaceDE w:val="0"/>
        <w:autoSpaceDN w:val="0"/>
        <w:bidi w:val="0"/>
        <w:adjustRightInd w:val="0"/>
        <w:snapToGrid w:val="0"/>
        <w:spacing w:line="261" w:lineRule="auto"/>
        <w:rPr>
          <w:color w:val="auto"/>
          <w:spacing w:val="0"/>
          <w:w w:val="100"/>
          <w:position w:val="0"/>
          <w:highlight w:val="none"/>
        </w:rPr>
      </w:pPr>
    </w:p>
    <w:p w14:paraId="56B5A54A">
      <w:pPr>
        <w:pStyle w:val="3"/>
        <w:keepNext w:val="0"/>
        <w:keepLines w:val="0"/>
        <w:pageBreakBefore w:val="0"/>
        <w:widowControl/>
        <w:kinsoku/>
        <w:wordWrap/>
        <w:overflowPunct/>
        <w:topLinePunct w:val="0"/>
        <w:autoSpaceDE w:val="0"/>
        <w:autoSpaceDN w:val="0"/>
        <w:bidi w:val="0"/>
        <w:adjustRightInd w:val="0"/>
        <w:snapToGrid w:val="0"/>
        <w:spacing w:line="261" w:lineRule="auto"/>
        <w:rPr>
          <w:color w:val="auto"/>
          <w:spacing w:val="0"/>
          <w:w w:val="100"/>
          <w:position w:val="0"/>
          <w:highlight w:val="none"/>
        </w:rPr>
      </w:pPr>
    </w:p>
    <w:p w14:paraId="3FFF6BFE">
      <w:pPr>
        <w:pStyle w:val="3"/>
        <w:keepNext w:val="0"/>
        <w:keepLines w:val="0"/>
        <w:pageBreakBefore w:val="0"/>
        <w:widowControl/>
        <w:kinsoku/>
        <w:wordWrap/>
        <w:overflowPunct/>
        <w:topLinePunct w:val="0"/>
        <w:autoSpaceDE w:val="0"/>
        <w:autoSpaceDN w:val="0"/>
        <w:bidi w:val="0"/>
        <w:adjustRightInd w:val="0"/>
        <w:snapToGrid w:val="0"/>
        <w:spacing w:line="261" w:lineRule="auto"/>
        <w:rPr>
          <w:color w:val="auto"/>
          <w:spacing w:val="0"/>
          <w:w w:val="100"/>
          <w:position w:val="0"/>
          <w:highlight w:val="none"/>
        </w:rPr>
      </w:pPr>
    </w:p>
    <w:p w14:paraId="1FEC0639">
      <w:pPr>
        <w:pStyle w:val="3"/>
        <w:keepNext w:val="0"/>
        <w:keepLines w:val="0"/>
        <w:pageBreakBefore w:val="0"/>
        <w:widowControl/>
        <w:kinsoku/>
        <w:wordWrap/>
        <w:overflowPunct/>
        <w:topLinePunct w:val="0"/>
        <w:autoSpaceDE w:val="0"/>
        <w:autoSpaceDN w:val="0"/>
        <w:bidi w:val="0"/>
        <w:adjustRightInd w:val="0"/>
        <w:snapToGrid w:val="0"/>
        <w:spacing w:line="261" w:lineRule="auto"/>
        <w:rPr>
          <w:color w:val="auto"/>
          <w:spacing w:val="0"/>
          <w:w w:val="100"/>
          <w:position w:val="0"/>
          <w:highlight w:val="none"/>
        </w:rPr>
      </w:pPr>
    </w:p>
    <w:p w14:paraId="57AD0636">
      <w:pPr>
        <w:keepNext w:val="0"/>
        <w:keepLines w:val="0"/>
        <w:pageBreakBefore w:val="0"/>
        <w:widowControl/>
        <w:kinsoku/>
        <w:wordWrap/>
        <w:overflowPunct/>
        <w:topLinePunct w:val="0"/>
        <w:autoSpaceDE w:val="0"/>
        <w:autoSpaceDN w:val="0"/>
        <w:bidi w:val="0"/>
        <w:adjustRightInd w:val="0"/>
        <w:snapToGrid w:val="0"/>
        <w:spacing w:before="140" w:line="221" w:lineRule="auto"/>
        <w:ind w:left="3104"/>
        <w:rPr>
          <w:rFonts w:ascii="仿宋" w:hAnsi="仿宋" w:eastAsia="仿宋" w:cs="仿宋"/>
          <w:color w:val="auto"/>
          <w:spacing w:val="0"/>
          <w:w w:val="100"/>
          <w:position w:val="0"/>
          <w:sz w:val="43"/>
          <w:szCs w:val="43"/>
          <w:highlight w:val="none"/>
        </w:rPr>
      </w:pPr>
      <w:r>
        <w:rPr>
          <w:rFonts w:ascii="仿宋" w:hAnsi="仿宋" w:eastAsia="仿宋" w:cs="仿宋"/>
          <w:b/>
          <w:bCs/>
          <w:color w:val="auto"/>
          <w:spacing w:val="0"/>
          <w:w w:val="100"/>
          <w:position w:val="0"/>
          <w:sz w:val="43"/>
          <w:szCs w:val="43"/>
          <w:highlight w:val="none"/>
        </w:rPr>
        <w:t>伊春市乌翠区</w:t>
      </w:r>
    </w:p>
    <w:p w14:paraId="0A14E33A">
      <w:pPr>
        <w:keepNext w:val="0"/>
        <w:keepLines w:val="0"/>
        <w:pageBreakBefore w:val="0"/>
        <w:widowControl/>
        <w:kinsoku/>
        <w:wordWrap/>
        <w:overflowPunct/>
        <w:topLinePunct w:val="0"/>
        <w:autoSpaceDE w:val="0"/>
        <w:autoSpaceDN w:val="0"/>
        <w:bidi w:val="0"/>
        <w:adjustRightInd w:val="0"/>
        <w:snapToGrid w:val="0"/>
        <w:spacing w:before="334" w:line="221" w:lineRule="auto"/>
        <w:ind w:left="451"/>
        <w:rPr>
          <w:rFonts w:ascii="仿宋" w:hAnsi="仿宋" w:eastAsia="仿宋" w:cs="仿宋"/>
          <w:color w:val="auto"/>
          <w:spacing w:val="0"/>
          <w:w w:val="100"/>
          <w:position w:val="0"/>
          <w:sz w:val="43"/>
          <w:szCs w:val="43"/>
          <w:highlight w:val="none"/>
        </w:rPr>
      </w:pPr>
      <w:r>
        <w:rPr>
          <w:rFonts w:ascii="仿宋" w:hAnsi="仿宋" w:eastAsia="仿宋" w:cs="仿宋"/>
          <w:b/>
          <w:bCs/>
          <w:color w:val="auto"/>
          <w:spacing w:val="0"/>
          <w:w w:val="100"/>
          <w:position w:val="0"/>
          <w:sz w:val="43"/>
          <w:szCs w:val="43"/>
          <w:highlight w:val="none"/>
        </w:rPr>
        <w:t>集中式地表水饮用水水源地突发环境事件</w:t>
      </w:r>
    </w:p>
    <w:p w14:paraId="29809663">
      <w:pPr>
        <w:keepNext w:val="0"/>
        <w:keepLines w:val="0"/>
        <w:pageBreakBefore w:val="0"/>
        <w:widowControl/>
        <w:kinsoku/>
        <w:wordWrap/>
        <w:overflowPunct/>
        <w:topLinePunct w:val="0"/>
        <w:autoSpaceDE w:val="0"/>
        <w:autoSpaceDN w:val="0"/>
        <w:bidi w:val="0"/>
        <w:adjustRightInd w:val="0"/>
        <w:snapToGrid w:val="0"/>
        <w:spacing w:before="336" w:line="220" w:lineRule="auto"/>
        <w:ind w:left="3103"/>
        <w:rPr>
          <w:rFonts w:ascii="仿宋" w:hAnsi="仿宋" w:eastAsia="仿宋" w:cs="仿宋"/>
          <w:color w:val="auto"/>
          <w:spacing w:val="0"/>
          <w:w w:val="100"/>
          <w:position w:val="0"/>
          <w:sz w:val="43"/>
          <w:szCs w:val="43"/>
          <w:highlight w:val="none"/>
        </w:rPr>
      </w:pPr>
      <w:r>
        <w:rPr>
          <w:rFonts w:ascii="仿宋" w:hAnsi="仿宋" w:eastAsia="仿宋" w:cs="仿宋"/>
          <w:b/>
          <w:bCs/>
          <w:color w:val="auto"/>
          <w:spacing w:val="0"/>
          <w:w w:val="100"/>
          <w:position w:val="0"/>
          <w:sz w:val="43"/>
          <w:szCs w:val="43"/>
          <w:highlight w:val="none"/>
        </w:rPr>
        <w:t>风险评估报告</w:t>
      </w:r>
    </w:p>
    <w:p w14:paraId="7DD0EB2D">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431B9785">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387AE697">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57A85172">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2C8ACE40">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66A62D73">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49069431">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5FCDD7B7">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73C923D1">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70DED79A">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65DB4671">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067E890D">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13E7E701">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2238B381">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171D3CA3">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68491F25">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0F6A0486">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551B0BA8">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6E75303E">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04CF49A9">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6D5CDC4A">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1799CBF7">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419E31B9">
      <w:pPr>
        <w:pStyle w:val="3"/>
        <w:keepNext w:val="0"/>
        <w:keepLines w:val="0"/>
        <w:pageBreakBefore w:val="0"/>
        <w:widowControl/>
        <w:kinsoku/>
        <w:wordWrap/>
        <w:overflowPunct/>
        <w:topLinePunct w:val="0"/>
        <w:autoSpaceDE w:val="0"/>
        <w:autoSpaceDN w:val="0"/>
        <w:bidi w:val="0"/>
        <w:adjustRightInd w:val="0"/>
        <w:snapToGrid w:val="0"/>
        <w:spacing w:line="247" w:lineRule="auto"/>
        <w:rPr>
          <w:color w:val="auto"/>
          <w:spacing w:val="0"/>
          <w:w w:val="100"/>
          <w:position w:val="0"/>
          <w:highlight w:val="none"/>
        </w:rPr>
      </w:pPr>
    </w:p>
    <w:p w14:paraId="693FFA2A">
      <w:pPr>
        <w:pStyle w:val="3"/>
        <w:keepNext w:val="0"/>
        <w:keepLines w:val="0"/>
        <w:pageBreakBefore w:val="0"/>
        <w:widowControl/>
        <w:kinsoku/>
        <w:wordWrap/>
        <w:overflowPunct/>
        <w:topLinePunct w:val="0"/>
        <w:autoSpaceDE w:val="0"/>
        <w:autoSpaceDN w:val="0"/>
        <w:bidi w:val="0"/>
        <w:adjustRightInd w:val="0"/>
        <w:snapToGrid w:val="0"/>
        <w:spacing w:line="248" w:lineRule="auto"/>
        <w:rPr>
          <w:color w:val="auto"/>
          <w:spacing w:val="0"/>
          <w:w w:val="100"/>
          <w:position w:val="0"/>
          <w:highlight w:val="none"/>
        </w:rPr>
      </w:pPr>
    </w:p>
    <w:p w14:paraId="0E4B8414">
      <w:pPr>
        <w:pStyle w:val="3"/>
        <w:keepNext w:val="0"/>
        <w:keepLines w:val="0"/>
        <w:pageBreakBefore w:val="0"/>
        <w:widowControl/>
        <w:kinsoku/>
        <w:wordWrap/>
        <w:overflowPunct/>
        <w:topLinePunct w:val="0"/>
        <w:autoSpaceDE w:val="0"/>
        <w:autoSpaceDN w:val="0"/>
        <w:bidi w:val="0"/>
        <w:adjustRightInd w:val="0"/>
        <w:snapToGrid w:val="0"/>
        <w:spacing w:line="248" w:lineRule="auto"/>
        <w:rPr>
          <w:color w:val="auto"/>
          <w:spacing w:val="0"/>
          <w:w w:val="100"/>
          <w:position w:val="0"/>
          <w:highlight w:val="none"/>
        </w:rPr>
      </w:pPr>
    </w:p>
    <w:p w14:paraId="4F8B46BD">
      <w:pPr>
        <w:pStyle w:val="3"/>
        <w:keepNext w:val="0"/>
        <w:keepLines w:val="0"/>
        <w:pageBreakBefore w:val="0"/>
        <w:widowControl/>
        <w:kinsoku/>
        <w:wordWrap/>
        <w:overflowPunct/>
        <w:topLinePunct w:val="0"/>
        <w:autoSpaceDE w:val="0"/>
        <w:autoSpaceDN w:val="0"/>
        <w:bidi w:val="0"/>
        <w:adjustRightInd w:val="0"/>
        <w:snapToGrid w:val="0"/>
        <w:spacing w:line="248" w:lineRule="auto"/>
        <w:rPr>
          <w:color w:val="auto"/>
          <w:spacing w:val="0"/>
          <w:w w:val="100"/>
          <w:position w:val="0"/>
          <w:highlight w:val="none"/>
        </w:rPr>
      </w:pPr>
    </w:p>
    <w:p w14:paraId="41D990C2">
      <w:pPr>
        <w:keepNext w:val="0"/>
        <w:keepLines w:val="0"/>
        <w:pageBreakBefore w:val="0"/>
        <w:widowControl/>
        <w:kinsoku/>
        <w:wordWrap/>
        <w:overflowPunct/>
        <w:topLinePunct w:val="0"/>
        <w:autoSpaceDE w:val="0"/>
        <w:autoSpaceDN w:val="0"/>
        <w:bidi w:val="0"/>
        <w:adjustRightInd w:val="0"/>
        <w:snapToGrid w:val="0"/>
        <w:spacing w:before="98" w:line="219" w:lineRule="auto"/>
        <w:ind w:left="3268"/>
        <w:rPr>
          <w:rFonts w:ascii="仿宋" w:hAnsi="仿宋" w:eastAsia="仿宋" w:cs="仿宋"/>
          <w:color w:val="auto"/>
          <w:spacing w:val="0"/>
          <w:w w:val="100"/>
          <w:position w:val="0"/>
          <w:sz w:val="30"/>
          <w:szCs w:val="30"/>
          <w:highlight w:val="none"/>
        </w:rPr>
      </w:pPr>
      <w:r>
        <w:rPr>
          <w:rFonts w:ascii="仿宋" w:hAnsi="仿宋" w:eastAsia="仿宋" w:cs="仿宋"/>
          <w:color w:val="auto"/>
          <w:spacing w:val="0"/>
          <w:w w:val="100"/>
          <w:position w:val="0"/>
          <w:sz w:val="30"/>
          <w:szCs w:val="30"/>
          <w:highlight w:val="none"/>
        </w:rPr>
        <w:t>乌翠区人民政府</w:t>
      </w:r>
    </w:p>
    <w:p w14:paraId="5D08E123">
      <w:pPr>
        <w:pStyle w:val="3"/>
        <w:keepNext w:val="0"/>
        <w:keepLines w:val="0"/>
        <w:pageBreakBefore w:val="0"/>
        <w:widowControl/>
        <w:kinsoku/>
        <w:wordWrap/>
        <w:overflowPunct/>
        <w:topLinePunct w:val="0"/>
        <w:autoSpaceDE w:val="0"/>
        <w:autoSpaceDN w:val="0"/>
        <w:bidi w:val="0"/>
        <w:adjustRightInd w:val="0"/>
        <w:snapToGrid w:val="0"/>
        <w:spacing w:line="322" w:lineRule="auto"/>
        <w:rPr>
          <w:color w:val="auto"/>
          <w:spacing w:val="0"/>
          <w:w w:val="100"/>
          <w:position w:val="0"/>
          <w:highlight w:val="none"/>
        </w:rPr>
      </w:pPr>
    </w:p>
    <w:p w14:paraId="4825DEBD">
      <w:pPr>
        <w:keepNext w:val="0"/>
        <w:keepLines w:val="0"/>
        <w:pageBreakBefore w:val="0"/>
        <w:widowControl/>
        <w:kinsoku/>
        <w:wordWrap/>
        <w:overflowPunct/>
        <w:topLinePunct w:val="0"/>
        <w:autoSpaceDE w:val="0"/>
        <w:autoSpaceDN w:val="0"/>
        <w:bidi w:val="0"/>
        <w:adjustRightInd w:val="0"/>
        <w:snapToGrid w:val="0"/>
        <w:spacing w:before="98" w:line="218" w:lineRule="auto"/>
        <w:jc w:val="center"/>
        <w:rPr>
          <w:rFonts w:ascii="仿宋" w:hAnsi="仿宋" w:eastAsia="仿宋" w:cs="仿宋"/>
          <w:color w:val="auto"/>
          <w:spacing w:val="0"/>
          <w:w w:val="100"/>
          <w:position w:val="0"/>
          <w:sz w:val="30"/>
          <w:szCs w:val="30"/>
          <w:highlight w:val="none"/>
        </w:rPr>
      </w:pPr>
      <w:r>
        <w:rPr>
          <w:rFonts w:ascii="仿宋" w:hAnsi="仿宋" w:eastAsia="仿宋" w:cs="仿宋"/>
          <w:color w:val="auto"/>
          <w:spacing w:val="0"/>
          <w:w w:val="100"/>
          <w:position w:val="0"/>
          <w:sz w:val="30"/>
          <w:szCs w:val="30"/>
          <w:highlight w:val="none"/>
        </w:rPr>
        <w:t>二〇二</w:t>
      </w:r>
      <w:r>
        <w:rPr>
          <w:rFonts w:hint="eastAsia" w:ascii="仿宋" w:hAnsi="仿宋" w:eastAsia="仿宋" w:cs="仿宋"/>
          <w:color w:val="auto"/>
          <w:spacing w:val="0"/>
          <w:w w:val="100"/>
          <w:position w:val="0"/>
          <w:sz w:val="30"/>
          <w:szCs w:val="30"/>
          <w:highlight w:val="none"/>
          <w:lang w:val="en-US" w:eastAsia="zh-CN"/>
        </w:rPr>
        <w:t>六</w:t>
      </w:r>
      <w:r>
        <w:rPr>
          <w:rFonts w:ascii="仿宋" w:hAnsi="仿宋" w:eastAsia="仿宋" w:cs="仿宋"/>
          <w:color w:val="auto"/>
          <w:spacing w:val="0"/>
          <w:w w:val="100"/>
          <w:position w:val="0"/>
          <w:sz w:val="30"/>
          <w:szCs w:val="30"/>
          <w:highlight w:val="none"/>
        </w:rPr>
        <w:t>年</w:t>
      </w:r>
      <w:r>
        <w:rPr>
          <w:rFonts w:hint="eastAsia" w:ascii="仿宋" w:hAnsi="仿宋" w:eastAsia="仿宋" w:cs="仿宋"/>
          <w:color w:val="auto"/>
          <w:spacing w:val="0"/>
          <w:w w:val="100"/>
          <w:position w:val="0"/>
          <w:sz w:val="30"/>
          <w:szCs w:val="30"/>
          <w:highlight w:val="none"/>
          <w:lang w:val="en-US" w:eastAsia="zh-CN"/>
        </w:rPr>
        <w:t>四</w:t>
      </w:r>
      <w:r>
        <w:rPr>
          <w:rFonts w:ascii="仿宋" w:hAnsi="仿宋" w:eastAsia="仿宋" w:cs="仿宋"/>
          <w:color w:val="auto"/>
          <w:spacing w:val="0"/>
          <w:w w:val="100"/>
          <w:position w:val="0"/>
          <w:sz w:val="30"/>
          <w:szCs w:val="30"/>
          <w:highlight w:val="none"/>
        </w:rPr>
        <w:t>月</w:t>
      </w:r>
    </w:p>
    <w:p w14:paraId="1C328F7B">
      <w:pPr>
        <w:keepNext w:val="0"/>
        <w:keepLines w:val="0"/>
        <w:pageBreakBefore w:val="0"/>
        <w:widowControl/>
        <w:kinsoku/>
        <w:wordWrap/>
        <w:overflowPunct/>
        <w:topLinePunct w:val="0"/>
        <w:autoSpaceDE w:val="0"/>
        <w:autoSpaceDN w:val="0"/>
        <w:bidi w:val="0"/>
        <w:adjustRightInd w:val="0"/>
        <w:snapToGrid w:val="0"/>
        <w:spacing w:line="218" w:lineRule="auto"/>
        <w:rPr>
          <w:rFonts w:ascii="仿宋" w:hAnsi="仿宋" w:eastAsia="仿宋" w:cs="仿宋"/>
          <w:color w:val="auto"/>
          <w:spacing w:val="0"/>
          <w:w w:val="100"/>
          <w:position w:val="0"/>
          <w:sz w:val="30"/>
          <w:szCs w:val="30"/>
          <w:highlight w:val="none"/>
        </w:rPr>
        <w:sectPr>
          <w:footerReference r:id="rId7" w:type="default"/>
          <w:pgSz w:w="12240" w:h="15840"/>
          <w:pgMar w:top="1440" w:right="1800" w:bottom="1440" w:left="1800" w:header="0" w:footer="0" w:gutter="0"/>
          <w:pgNumType w:fmt="decimal"/>
          <w:cols w:space="720" w:num="1"/>
        </w:sectPr>
      </w:pPr>
    </w:p>
    <w:sdt>
      <w:sdtPr>
        <w:rPr>
          <w:rFonts w:ascii="宋体" w:hAnsi="宋体" w:eastAsia="宋体" w:cs="Arial"/>
          <w:snapToGrid w:val="0"/>
          <w:color w:val="auto"/>
          <w:kern w:val="0"/>
          <w:sz w:val="21"/>
          <w:szCs w:val="21"/>
          <w:highlight w:val="none"/>
          <w:lang w:val="en-US" w:eastAsia="en-US" w:bidi="ar-SA"/>
        </w:rPr>
        <w:id w:val="147483205"/>
        <w15:color w:val="DBDBDB"/>
        <w:docPartObj>
          <w:docPartGallery w:val="Table of Contents"/>
          <w:docPartUnique/>
        </w:docPartObj>
      </w:sdtPr>
      <w:sdtEndPr>
        <w:rPr>
          <w:rFonts w:hint="default" w:ascii="Times New Roman" w:hAnsi="Times New Roman" w:eastAsia="仿宋" w:cs="Times New Roman"/>
          <w:snapToGrid w:val="0"/>
          <w:color w:val="auto"/>
          <w:spacing w:val="0"/>
          <w:w w:val="100"/>
          <w:kern w:val="0"/>
          <w:position w:val="0"/>
          <w:sz w:val="21"/>
          <w:szCs w:val="22"/>
          <w:highlight w:val="none"/>
          <w:lang w:val="en-US" w:eastAsia="en-US" w:bidi="ar-SA"/>
        </w:rPr>
      </w:sdtEndPr>
      <w:sdtContent>
        <w:p w14:paraId="78F94965">
          <w:pPr>
            <w:spacing w:before="0" w:beforeLines="0" w:after="0" w:afterLines="0"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目录</w:t>
          </w:r>
        </w:p>
        <w:p w14:paraId="655BAEE9">
          <w:pPr>
            <w:pStyle w:val="8"/>
            <w:tabs>
              <w:tab w:val="right" w:leader="dot" w:pos="8640"/>
            </w:tabs>
            <w:rPr>
              <w:color w:val="auto"/>
            </w:rPr>
          </w:pPr>
          <w:r>
            <w:rPr>
              <w:rFonts w:hint="default" w:ascii="Times New Roman" w:hAnsi="Times New Roman" w:eastAsia="仿宋" w:cs="Times New Roman"/>
              <w:color w:val="auto"/>
              <w:spacing w:val="0"/>
              <w:w w:val="100"/>
              <w:position w:val="0"/>
              <w:sz w:val="22"/>
              <w:szCs w:val="22"/>
              <w:highlight w:val="none"/>
            </w:rPr>
            <w:fldChar w:fldCharType="begin"/>
          </w:r>
          <w:r>
            <w:rPr>
              <w:rFonts w:hint="default" w:ascii="Times New Roman" w:hAnsi="Times New Roman" w:eastAsia="仿宋" w:cs="Times New Roman"/>
              <w:color w:val="auto"/>
              <w:spacing w:val="0"/>
              <w:w w:val="100"/>
              <w:position w:val="0"/>
              <w:sz w:val="22"/>
              <w:szCs w:val="22"/>
              <w:highlight w:val="none"/>
            </w:rPr>
            <w:instrText xml:space="preserve">TOC \o "1-2" \h \u </w:instrText>
          </w:r>
          <w:r>
            <w:rPr>
              <w:rFonts w:hint="default" w:ascii="Times New Roman" w:hAnsi="Times New Roman" w:eastAsia="仿宋" w:cs="Times New Roman"/>
              <w:color w:val="auto"/>
              <w:spacing w:val="0"/>
              <w:w w:val="100"/>
              <w:position w:val="0"/>
              <w:sz w:val="22"/>
              <w:szCs w:val="22"/>
              <w:highlight w:val="none"/>
            </w:rPr>
            <w:fldChar w:fldCharType="separate"/>
          </w:r>
        </w:p>
        <w:p w14:paraId="2A40D1E4">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_Toc21202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43"/>
              <w:highlight w:val="none"/>
            </w:rPr>
            <w:t>1前言</w:t>
          </w:r>
          <w:r>
            <w:rPr>
              <w:color w:val="auto"/>
            </w:rPr>
            <w:tab/>
          </w:r>
          <w:r>
            <w:rPr>
              <w:color w:val="auto"/>
            </w:rPr>
            <w:fldChar w:fldCharType="begin"/>
          </w:r>
          <w:r>
            <w:rPr>
              <w:color w:val="auto"/>
            </w:rPr>
            <w:instrText xml:space="preserve"> PAGEREF _Toc21202 \h </w:instrText>
          </w:r>
          <w:r>
            <w:rPr>
              <w:color w:val="auto"/>
            </w:rPr>
            <w:fldChar w:fldCharType="separate"/>
          </w:r>
          <w:r>
            <w:rPr>
              <w:color w:val="auto"/>
            </w:rPr>
            <w:t>1</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008B3742">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_Toc31582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43"/>
              <w:highlight w:val="none"/>
            </w:rPr>
            <w:t>2总则</w:t>
          </w:r>
          <w:r>
            <w:rPr>
              <w:color w:val="auto"/>
            </w:rPr>
            <w:tab/>
          </w:r>
          <w:r>
            <w:rPr>
              <w:color w:val="auto"/>
            </w:rPr>
            <w:fldChar w:fldCharType="begin"/>
          </w:r>
          <w:r>
            <w:rPr>
              <w:color w:val="auto"/>
            </w:rPr>
            <w:instrText xml:space="preserve"> PAGEREF _Toc31582 \h </w:instrText>
          </w:r>
          <w:r>
            <w:rPr>
              <w:color w:val="auto"/>
            </w:rPr>
            <w:fldChar w:fldCharType="separate"/>
          </w:r>
          <w:r>
            <w:rPr>
              <w:color w:val="auto"/>
            </w:rPr>
            <w:t>2</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5C1BB4E1">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_Toc24512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2.1编制原则</w:t>
          </w:r>
          <w:r>
            <w:rPr>
              <w:color w:val="auto"/>
            </w:rPr>
            <w:tab/>
          </w:r>
          <w:r>
            <w:rPr>
              <w:color w:val="auto"/>
            </w:rPr>
            <w:fldChar w:fldCharType="begin"/>
          </w:r>
          <w:r>
            <w:rPr>
              <w:color w:val="auto"/>
            </w:rPr>
            <w:instrText xml:space="preserve"> PAGEREF _Toc24512 \h </w:instrText>
          </w:r>
          <w:r>
            <w:rPr>
              <w:color w:val="auto"/>
            </w:rPr>
            <w:fldChar w:fldCharType="separate"/>
          </w:r>
          <w:r>
            <w:rPr>
              <w:color w:val="auto"/>
            </w:rPr>
            <w:t>2</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6B11AC1A">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_Toc2420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2.2编制依据</w:t>
          </w:r>
          <w:r>
            <w:rPr>
              <w:color w:val="auto"/>
            </w:rPr>
            <w:tab/>
          </w:r>
          <w:r>
            <w:rPr>
              <w:color w:val="auto"/>
            </w:rPr>
            <w:fldChar w:fldCharType="begin"/>
          </w:r>
          <w:r>
            <w:rPr>
              <w:color w:val="auto"/>
            </w:rPr>
            <w:instrText xml:space="preserve"> PAGEREF _Toc2420 \h </w:instrText>
          </w:r>
          <w:r>
            <w:rPr>
              <w:color w:val="auto"/>
            </w:rPr>
            <w:fldChar w:fldCharType="separate"/>
          </w:r>
          <w:r>
            <w:rPr>
              <w:color w:val="auto"/>
            </w:rPr>
            <w:t>2</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35A9924D">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_Toc29948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2.3评估范围</w:t>
          </w:r>
          <w:r>
            <w:rPr>
              <w:color w:val="auto"/>
            </w:rPr>
            <w:tab/>
          </w:r>
          <w:r>
            <w:rPr>
              <w:color w:val="auto"/>
            </w:rPr>
            <w:fldChar w:fldCharType="begin"/>
          </w:r>
          <w:r>
            <w:rPr>
              <w:color w:val="auto"/>
            </w:rPr>
            <w:instrText xml:space="preserve"> PAGEREF _Toc29948 \h </w:instrText>
          </w:r>
          <w:r>
            <w:rPr>
              <w:color w:val="auto"/>
            </w:rPr>
            <w:fldChar w:fldCharType="separate"/>
          </w:r>
          <w:r>
            <w:rPr>
              <w:color w:val="auto"/>
            </w:rPr>
            <w:t>3</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6EF576A7">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_Toc28906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2.4评估技术方法及路线</w:t>
          </w:r>
          <w:r>
            <w:rPr>
              <w:color w:val="auto"/>
            </w:rPr>
            <w:tab/>
          </w:r>
          <w:r>
            <w:rPr>
              <w:color w:val="auto"/>
            </w:rPr>
            <w:fldChar w:fldCharType="begin"/>
          </w:r>
          <w:r>
            <w:rPr>
              <w:color w:val="auto"/>
            </w:rPr>
            <w:instrText xml:space="preserve"> PAGEREF _Toc28906 \h </w:instrText>
          </w:r>
          <w:r>
            <w:rPr>
              <w:color w:val="auto"/>
            </w:rPr>
            <w:fldChar w:fldCharType="separate"/>
          </w:r>
          <w:r>
            <w:rPr>
              <w:color w:val="auto"/>
            </w:rPr>
            <w:t>4</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4303EDFE">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_Toc6208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43"/>
              <w:highlight w:val="none"/>
            </w:rPr>
            <w:t>3水源地基础环境特征调查</w:t>
          </w:r>
          <w:r>
            <w:rPr>
              <w:color w:val="auto"/>
            </w:rPr>
            <w:tab/>
          </w:r>
          <w:r>
            <w:rPr>
              <w:color w:val="auto"/>
            </w:rPr>
            <w:fldChar w:fldCharType="begin"/>
          </w:r>
          <w:r>
            <w:rPr>
              <w:color w:val="auto"/>
            </w:rPr>
            <w:instrText xml:space="preserve"> PAGEREF _Toc6208 \h </w:instrText>
          </w:r>
          <w:r>
            <w:rPr>
              <w:color w:val="auto"/>
            </w:rPr>
            <w:fldChar w:fldCharType="separate"/>
          </w:r>
          <w:r>
            <w:rPr>
              <w:color w:val="auto"/>
            </w:rPr>
            <w:t>6</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63888466">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_Toc3283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3.1水源地基本信息</w:t>
          </w:r>
          <w:r>
            <w:rPr>
              <w:color w:val="auto"/>
            </w:rPr>
            <w:tab/>
          </w:r>
          <w:r>
            <w:rPr>
              <w:color w:val="auto"/>
            </w:rPr>
            <w:fldChar w:fldCharType="begin"/>
          </w:r>
          <w:r>
            <w:rPr>
              <w:color w:val="auto"/>
            </w:rPr>
            <w:instrText xml:space="preserve"> PAGEREF _Toc3283 \h </w:instrText>
          </w:r>
          <w:r>
            <w:rPr>
              <w:color w:val="auto"/>
            </w:rPr>
            <w:fldChar w:fldCharType="separate"/>
          </w:r>
          <w:r>
            <w:rPr>
              <w:color w:val="auto"/>
            </w:rPr>
            <w:t>6</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19B2B3F2">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_Toc31626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3.2水源保护区划分情况</w:t>
          </w:r>
          <w:r>
            <w:rPr>
              <w:color w:val="auto"/>
            </w:rPr>
            <w:tab/>
          </w:r>
          <w:r>
            <w:rPr>
              <w:color w:val="auto"/>
            </w:rPr>
            <w:fldChar w:fldCharType="begin"/>
          </w:r>
          <w:r>
            <w:rPr>
              <w:color w:val="auto"/>
            </w:rPr>
            <w:instrText xml:space="preserve"> PAGEREF _Toc31626 \h </w:instrText>
          </w:r>
          <w:r>
            <w:rPr>
              <w:color w:val="auto"/>
            </w:rPr>
            <w:fldChar w:fldCharType="separate"/>
          </w:r>
          <w:r>
            <w:rPr>
              <w:color w:val="auto"/>
            </w:rPr>
            <w:t>6</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71DB28FB">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_Toc25987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3.3自然和社会环境概况</w:t>
          </w:r>
          <w:r>
            <w:rPr>
              <w:color w:val="auto"/>
            </w:rPr>
            <w:tab/>
          </w:r>
          <w:r>
            <w:rPr>
              <w:color w:val="auto"/>
            </w:rPr>
            <w:fldChar w:fldCharType="begin"/>
          </w:r>
          <w:r>
            <w:rPr>
              <w:color w:val="auto"/>
            </w:rPr>
            <w:instrText xml:space="preserve"> PAGEREF _Toc25987 \h </w:instrText>
          </w:r>
          <w:r>
            <w:rPr>
              <w:color w:val="auto"/>
            </w:rPr>
            <w:fldChar w:fldCharType="separate"/>
          </w:r>
          <w:r>
            <w:rPr>
              <w:color w:val="auto"/>
            </w:rPr>
            <w:t>8</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30CDE8BB">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_Toc29419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3.4水源监测状况</w:t>
          </w:r>
          <w:r>
            <w:rPr>
              <w:color w:val="auto"/>
            </w:rPr>
            <w:tab/>
          </w:r>
          <w:r>
            <w:rPr>
              <w:color w:val="auto"/>
            </w:rPr>
            <w:fldChar w:fldCharType="begin"/>
          </w:r>
          <w:r>
            <w:rPr>
              <w:color w:val="auto"/>
            </w:rPr>
            <w:instrText xml:space="preserve"> PAGEREF _Toc29419 \h </w:instrText>
          </w:r>
          <w:r>
            <w:rPr>
              <w:color w:val="auto"/>
            </w:rPr>
            <w:fldChar w:fldCharType="separate"/>
          </w:r>
          <w:r>
            <w:rPr>
              <w:color w:val="auto"/>
            </w:rPr>
            <w:t>13</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66EBD40B">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_Toc24495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3.5水源水质情况</w:t>
          </w:r>
          <w:r>
            <w:rPr>
              <w:color w:val="auto"/>
            </w:rPr>
            <w:tab/>
          </w:r>
          <w:r>
            <w:rPr>
              <w:color w:val="auto"/>
            </w:rPr>
            <w:fldChar w:fldCharType="begin"/>
          </w:r>
          <w:r>
            <w:rPr>
              <w:color w:val="auto"/>
            </w:rPr>
            <w:instrText xml:space="preserve"> PAGEREF _Toc24495 \h </w:instrText>
          </w:r>
          <w:r>
            <w:rPr>
              <w:color w:val="auto"/>
            </w:rPr>
            <w:fldChar w:fldCharType="separate"/>
          </w:r>
          <w:r>
            <w:rPr>
              <w:color w:val="auto"/>
            </w:rPr>
            <w:t>14</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404AF6E8">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_Toc13722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3.6水源地环境管理情况</w:t>
          </w:r>
          <w:r>
            <w:rPr>
              <w:color w:val="auto"/>
            </w:rPr>
            <w:tab/>
          </w:r>
          <w:r>
            <w:rPr>
              <w:color w:val="auto"/>
            </w:rPr>
            <w:fldChar w:fldCharType="begin"/>
          </w:r>
          <w:r>
            <w:rPr>
              <w:color w:val="auto"/>
            </w:rPr>
            <w:instrText xml:space="preserve"> PAGEREF _Toc13722 \h </w:instrText>
          </w:r>
          <w:r>
            <w:rPr>
              <w:color w:val="auto"/>
            </w:rPr>
            <w:fldChar w:fldCharType="separate"/>
          </w:r>
          <w:r>
            <w:rPr>
              <w:color w:val="auto"/>
            </w:rPr>
            <w:t>14</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3A0AD8C8">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_Toc3487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3.7环境功能区划情况</w:t>
          </w:r>
          <w:r>
            <w:rPr>
              <w:color w:val="auto"/>
            </w:rPr>
            <w:tab/>
          </w:r>
          <w:r>
            <w:rPr>
              <w:color w:val="auto"/>
            </w:rPr>
            <w:fldChar w:fldCharType="begin"/>
          </w:r>
          <w:r>
            <w:rPr>
              <w:color w:val="auto"/>
            </w:rPr>
            <w:instrText xml:space="preserve"> PAGEREF _Toc3487 \h </w:instrText>
          </w:r>
          <w:r>
            <w:rPr>
              <w:color w:val="auto"/>
            </w:rPr>
            <w:fldChar w:fldCharType="separate"/>
          </w:r>
          <w:r>
            <w:rPr>
              <w:color w:val="auto"/>
            </w:rPr>
            <w:t>15</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7FADC768">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_Toc11505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3.8水源地周边环境风险受体情况</w:t>
          </w:r>
          <w:r>
            <w:rPr>
              <w:color w:val="auto"/>
            </w:rPr>
            <w:tab/>
          </w:r>
          <w:r>
            <w:rPr>
              <w:color w:val="auto"/>
            </w:rPr>
            <w:fldChar w:fldCharType="begin"/>
          </w:r>
          <w:r>
            <w:rPr>
              <w:color w:val="auto"/>
            </w:rPr>
            <w:instrText xml:space="preserve"> PAGEREF _Toc11505 \h </w:instrText>
          </w:r>
          <w:r>
            <w:rPr>
              <w:color w:val="auto"/>
            </w:rPr>
            <w:fldChar w:fldCharType="separate"/>
          </w:r>
          <w:r>
            <w:rPr>
              <w:color w:val="auto"/>
            </w:rPr>
            <w:t>15</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49B91F5D">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_Toc31435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3.9水源地风险源情况</w:t>
          </w:r>
          <w:r>
            <w:rPr>
              <w:color w:val="auto"/>
            </w:rPr>
            <w:tab/>
          </w:r>
          <w:r>
            <w:rPr>
              <w:color w:val="auto"/>
            </w:rPr>
            <w:fldChar w:fldCharType="begin"/>
          </w:r>
          <w:r>
            <w:rPr>
              <w:color w:val="auto"/>
            </w:rPr>
            <w:instrText xml:space="preserve"> PAGEREF _Toc31435 \h </w:instrText>
          </w:r>
          <w:r>
            <w:rPr>
              <w:color w:val="auto"/>
            </w:rPr>
            <w:fldChar w:fldCharType="separate"/>
          </w:r>
          <w:r>
            <w:rPr>
              <w:color w:val="auto"/>
            </w:rPr>
            <w:t>16</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709C11D1">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_Toc26619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43"/>
              <w:highlight w:val="none"/>
            </w:rPr>
            <w:t>4突发环境事件及其后果分析</w:t>
          </w:r>
          <w:r>
            <w:rPr>
              <w:color w:val="auto"/>
            </w:rPr>
            <w:tab/>
          </w:r>
          <w:r>
            <w:rPr>
              <w:color w:val="auto"/>
            </w:rPr>
            <w:fldChar w:fldCharType="begin"/>
          </w:r>
          <w:r>
            <w:rPr>
              <w:color w:val="auto"/>
            </w:rPr>
            <w:instrText xml:space="preserve"> PAGEREF _Toc26619 \h </w:instrText>
          </w:r>
          <w:r>
            <w:rPr>
              <w:color w:val="auto"/>
            </w:rPr>
            <w:fldChar w:fldCharType="separate"/>
          </w:r>
          <w:r>
            <w:rPr>
              <w:color w:val="auto"/>
            </w:rPr>
            <w:t>18</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424B93B1">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_Toc19875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4.1突发环境事件情景分析</w:t>
          </w:r>
          <w:r>
            <w:rPr>
              <w:color w:val="auto"/>
            </w:rPr>
            <w:tab/>
          </w:r>
          <w:r>
            <w:rPr>
              <w:color w:val="auto"/>
            </w:rPr>
            <w:fldChar w:fldCharType="begin"/>
          </w:r>
          <w:r>
            <w:rPr>
              <w:color w:val="auto"/>
            </w:rPr>
            <w:instrText xml:space="preserve"> PAGEREF _Toc19875 \h </w:instrText>
          </w:r>
          <w:r>
            <w:rPr>
              <w:color w:val="auto"/>
            </w:rPr>
            <w:fldChar w:fldCharType="separate"/>
          </w:r>
          <w:r>
            <w:rPr>
              <w:color w:val="auto"/>
            </w:rPr>
            <w:t>18</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0EE14848">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_Toc16565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4.2国内同类突发环境事件</w:t>
          </w:r>
          <w:r>
            <w:rPr>
              <w:color w:val="auto"/>
            </w:rPr>
            <w:tab/>
          </w:r>
          <w:r>
            <w:rPr>
              <w:color w:val="auto"/>
            </w:rPr>
            <w:fldChar w:fldCharType="begin"/>
          </w:r>
          <w:r>
            <w:rPr>
              <w:color w:val="auto"/>
            </w:rPr>
            <w:instrText xml:space="preserve"> PAGEREF _Toc16565 \h </w:instrText>
          </w:r>
          <w:r>
            <w:rPr>
              <w:color w:val="auto"/>
            </w:rPr>
            <w:fldChar w:fldCharType="separate"/>
          </w:r>
          <w:r>
            <w:rPr>
              <w:color w:val="auto"/>
            </w:rPr>
            <w:t>18</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72237954">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_Toc14415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4.3水源地可能发生的突发环境事件情景</w:t>
          </w:r>
          <w:r>
            <w:rPr>
              <w:color w:val="auto"/>
            </w:rPr>
            <w:tab/>
          </w:r>
          <w:r>
            <w:rPr>
              <w:color w:val="auto"/>
            </w:rPr>
            <w:fldChar w:fldCharType="begin"/>
          </w:r>
          <w:r>
            <w:rPr>
              <w:color w:val="auto"/>
            </w:rPr>
            <w:instrText xml:space="preserve"> PAGEREF _Toc14415 \h </w:instrText>
          </w:r>
          <w:r>
            <w:rPr>
              <w:color w:val="auto"/>
            </w:rPr>
            <w:fldChar w:fldCharType="separate"/>
          </w:r>
          <w:r>
            <w:rPr>
              <w:color w:val="auto"/>
            </w:rPr>
            <w:t>26</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2F15BECF">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_Toc26686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4.4突发环境事件源强及后果分析</w:t>
          </w:r>
          <w:r>
            <w:rPr>
              <w:color w:val="auto"/>
            </w:rPr>
            <w:tab/>
          </w:r>
          <w:r>
            <w:rPr>
              <w:color w:val="auto"/>
            </w:rPr>
            <w:fldChar w:fldCharType="begin"/>
          </w:r>
          <w:r>
            <w:rPr>
              <w:color w:val="auto"/>
            </w:rPr>
            <w:instrText xml:space="preserve"> PAGEREF _Toc26686 \h </w:instrText>
          </w:r>
          <w:r>
            <w:rPr>
              <w:color w:val="auto"/>
            </w:rPr>
            <w:fldChar w:fldCharType="separate"/>
          </w:r>
          <w:r>
            <w:rPr>
              <w:color w:val="auto"/>
            </w:rPr>
            <w:t>26</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29B4CAB4">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_Toc14503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43"/>
              <w:highlight w:val="none"/>
            </w:rPr>
            <w:t>5环境风险分析</w:t>
          </w:r>
          <w:r>
            <w:rPr>
              <w:color w:val="auto"/>
            </w:rPr>
            <w:tab/>
          </w:r>
          <w:r>
            <w:rPr>
              <w:color w:val="auto"/>
            </w:rPr>
            <w:fldChar w:fldCharType="begin"/>
          </w:r>
          <w:r>
            <w:rPr>
              <w:color w:val="auto"/>
            </w:rPr>
            <w:instrText xml:space="preserve"> PAGEREF _Toc14503 \h </w:instrText>
          </w:r>
          <w:r>
            <w:rPr>
              <w:color w:val="auto"/>
            </w:rPr>
            <w:fldChar w:fldCharType="separate"/>
          </w:r>
          <w:r>
            <w:rPr>
              <w:color w:val="auto"/>
            </w:rPr>
            <w:t>32</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360FA6B4">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_Toc31103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5.1环境风险源辨识</w:t>
          </w:r>
          <w:r>
            <w:rPr>
              <w:color w:val="auto"/>
            </w:rPr>
            <w:tab/>
          </w:r>
          <w:r>
            <w:rPr>
              <w:color w:val="auto"/>
            </w:rPr>
            <w:fldChar w:fldCharType="begin"/>
          </w:r>
          <w:r>
            <w:rPr>
              <w:color w:val="auto"/>
            </w:rPr>
            <w:instrText xml:space="preserve"> PAGEREF _Toc31103 \h </w:instrText>
          </w:r>
          <w:r>
            <w:rPr>
              <w:color w:val="auto"/>
            </w:rPr>
            <w:fldChar w:fldCharType="separate"/>
          </w:r>
          <w:r>
            <w:rPr>
              <w:color w:val="auto"/>
            </w:rPr>
            <w:t>32</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0816F0B2">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_Toc26803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5.2环境风险源项分析</w:t>
          </w:r>
          <w:r>
            <w:rPr>
              <w:color w:val="auto"/>
            </w:rPr>
            <w:tab/>
          </w:r>
          <w:r>
            <w:rPr>
              <w:color w:val="auto"/>
            </w:rPr>
            <w:fldChar w:fldCharType="begin"/>
          </w:r>
          <w:r>
            <w:rPr>
              <w:color w:val="auto"/>
            </w:rPr>
            <w:instrText xml:space="preserve"> PAGEREF _Toc26803 \h </w:instrText>
          </w:r>
          <w:r>
            <w:rPr>
              <w:color w:val="auto"/>
            </w:rPr>
            <w:fldChar w:fldCharType="separate"/>
          </w:r>
          <w:r>
            <w:rPr>
              <w:color w:val="auto"/>
            </w:rPr>
            <w:t>32</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24B200AD">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_Toc28176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5.3环境风险源评估</w:t>
          </w:r>
          <w:r>
            <w:rPr>
              <w:color w:val="auto"/>
            </w:rPr>
            <w:tab/>
          </w:r>
          <w:r>
            <w:rPr>
              <w:color w:val="auto"/>
            </w:rPr>
            <w:fldChar w:fldCharType="begin"/>
          </w:r>
          <w:r>
            <w:rPr>
              <w:color w:val="auto"/>
            </w:rPr>
            <w:instrText xml:space="preserve"> PAGEREF _Toc28176 \h </w:instrText>
          </w:r>
          <w:r>
            <w:rPr>
              <w:color w:val="auto"/>
            </w:rPr>
            <w:fldChar w:fldCharType="separate"/>
          </w:r>
          <w:r>
            <w:rPr>
              <w:color w:val="auto"/>
            </w:rPr>
            <w:t>37</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31173DF1">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_Toc27769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43"/>
              <w:highlight w:val="none"/>
            </w:rPr>
            <w:t>6环境风险防控与应急措施差距分析</w:t>
          </w:r>
          <w:r>
            <w:rPr>
              <w:color w:val="auto"/>
            </w:rPr>
            <w:tab/>
          </w:r>
          <w:r>
            <w:rPr>
              <w:color w:val="auto"/>
            </w:rPr>
            <w:fldChar w:fldCharType="begin"/>
          </w:r>
          <w:r>
            <w:rPr>
              <w:color w:val="auto"/>
            </w:rPr>
            <w:instrText xml:space="preserve"> PAGEREF _Toc27769 \h </w:instrText>
          </w:r>
          <w:r>
            <w:rPr>
              <w:color w:val="auto"/>
            </w:rPr>
            <w:fldChar w:fldCharType="separate"/>
          </w:r>
          <w:r>
            <w:rPr>
              <w:color w:val="auto"/>
            </w:rPr>
            <w:t>39</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4ED797E8">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_Toc28528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6.1现有防控措施</w:t>
          </w:r>
          <w:r>
            <w:rPr>
              <w:color w:val="auto"/>
            </w:rPr>
            <w:tab/>
          </w:r>
          <w:r>
            <w:rPr>
              <w:color w:val="auto"/>
            </w:rPr>
            <w:fldChar w:fldCharType="begin"/>
          </w:r>
          <w:r>
            <w:rPr>
              <w:color w:val="auto"/>
            </w:rPr>
            <w:instrText xml:space="preserve"> PAGEREF _Toc28528 \h </w:instrText>
          </w:r>
          <w:r>
            <w:rPr>
              <w:color w:val="auto"/>
            </w:rPr>
            <w:fldChar w:fldCharType="separate"/>
          </w:r>
          <w:r>
            <w:rPr>
              <w:color w:val="auto"/>
            </w:rPr>
            <w:t>39</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0B070987">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_Toc11999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6.2固定风险源环境风险防控能力分析</w:t>
          </w:r>
          <w:r>
            <w:rPr>
              <w:color w:val="auto"/>
            </w:rPr>
            <w:tab/>
          </w:r>
          <w:r>
            <w:rPr>
              <w:color w:val="auto"/>
            </w:rPr>
            <w:fldChar w:fldCharType="begin"/>
          </w:r>
          <w:r>
            <w:rPr>
              <w:color w:val="auto"/>
            </w:rPr>
            <w:instrText xml:space="preserve"> PAGEREF _Toc11999 \h </w:instrText>
          </w:r>
          <w:r>
            <w:rPr>
              <w:color w:val="auto"/>
            </w:rPr>
            <w:fldChar w:fldCharType="separate"/>
          </w:r>
          <w:r>
            <w:rPr>
              <w:color w:val="auto"/>
            </w:rPr>
            <w:t>40</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604A5349">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_Toc3783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6.3流动风险源环境风险防控能力分析</w:t>
          </w:r>
          <w:r>
            <w:rPr>
              <w:color w:val="auto"/>
            </w:rPr>
            <w:tab/>
          </w:r>
          <w:r>
            <w:rPr>
              <w:color w:val="auto"/>
            </w:rPr>
            <w:fldChar w:fldCharType="begin"/>
          </w:r>
          <w:r>
            <w:rPr>
              <w:color w:val="auto"/>
            </w:rPr>
            <w:instrText xml:space="preserve"> PAGEREF _Toc3783 \h </w:instrText>
          </w:r>
          <w:r>
            <w:rPr>
              <w:color w:val="auto"/>
            </w:rPr>
            <w:fldChar w:fldCharType="separate"/>
          </w:r>
          <w:r>
            <w:rPr>
              <w:color w:val="auto"/>
            </w:rPr>
            <w:t>40</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1C39E578">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_Toc28389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6.4非点源环境风险防控能力分析</w:t>
          </w:r>
          <w:r>
            <w:rPr>
              <w:color w:val="auto"/>
            </w:rPr>
            <w:tab/>
          </w:r>
          <w:r>
            <w:rPr>
              <w:color w:val="auto"/>
            </w:rPr>
            <w:fldChar w:fldCharType="begin"/>
          </w:r>
          <w:r>
            <w:rPr>
              <w:color w:val="auto"/>
            </w:rPr>
            <w:instrText xml:space="preserve"> PAGEREF _Toc28389 \h </w:instrText>
          </w:r>
          <w:r>
            <w:rPr>
              <w:color w:val="auto"/>
            </w:rPr>
            <w:fldChar w:fldCharType="separate"/>
          </w:r>
          <w:r>
            <w:rPr>
              <w:color w:val="auto"/>
            </w:rPr>
            <w:t>40</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30779EF3">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_Toc32700 </w:instrText>
          </w:r>
          <w:r>
            <w:rPr>
              <w:rFonts w:hint="default" w:ascii="Times New Roman" w:hAnsi="Times New Roman" w:eastAsia="仿宋" w:cs="Times New Roman"/>
              <w:color w:val="auto"/>
              <w:spacing w:val="0"/>
              <w:w w:val="100"/>
              <w:position w:val="0"/>
              <w:szCs w:val="22"/>
              <w:highlight w:val="none"/>
            </w:rPr>
            <w:fldChar w:fldCharType="separate"/>
          </w:r>
          <w:r>
            <w:rPr>
              <w:rFonts w:hint="eastAsia" w:ascii="仿宋" w:hAnsi="仿宋" w:eastAsia="仿宋" w:cs="仿宋"/>
              <w:bCs/>
              <w:color w:val="auto"/>
              <w:spacing w:val="0"/>
              <w:w w:val="100"/>
              <w:position w:val="0"/>
              <w:szCs w:val="31"/>
              <w:highlight w:val="none"/>
              <w:lang w:val="en-US" w:eastAsia="zh-CN"/>
            </w:rPr>
            <w:t>6.5</w:t>
          </w:r>
          <w:r>
            <w:rPr>
              <w:rFonts w:hint="default" w:ascii="仿宋" w:hAnsi="仿宋" w:eastAsia="仿宋" w:cs="仿宋"/>
              <w:bCs/>
              <w:color w:val="auto"/>
              <w:spacing w:val="0"/>
              <w:w w:val="100"/>
              <w:position w:val="0"/>
              <w:szCs w:val="31"/>
              <w:highlight w:val="none"/>
              <w:lang w:val="en-US" w:eastAsia="zh-CN"/>
            </w:rPr>
            <w:t>水华污染风险防控能力分析</w:t>
          </w:r>
          <w:r>
            <w:rPr>
              <w:color w:val="auto"/>
            </w:rPr>
            <w:tab/>
          </w:r>
          <w:r>
            <w:rPr>
              <w:color w:val="auto"/>
            </w:rPr>
            <w:fldChar w:fldCharType="begin"/>
          </w:r>
          <w:r>
            <w:rPr>
              <w:color w:val="auto"/>
            </w:rPr>
            <w:instrText xml:space="preserve"> PAGEREF _Toc32700 \h </w:instrText>
          </w:r>
          <w:r>
            <w:rPr>
              <w:color w:val="auto"/>
            </w:rPr>
            <w:fldChar w:fldCharType="separate"/>
          </w:r>
          <w:r>
            <w:rPr>
              <w:color w:val="auto"/>
            </w:rPr>
            <w:t>41</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21E111C6">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_Toc26513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6.</w:t>
          </w:r>
          <w:r>
            <w:rPr>
              <w:rFonts w:hint="eastAsia" w:ascii="仿宋" w:hAnsi="仿宋" w:eastAsia="仿宋" w:cs="仿宋"/>
              <w:bCs/>
              <w:color w:val="auto"/>
              <w:spacing w:val="0"/>
              <w:w w:val="100"/>
              <w:position w:val="0"/>
              <w:szCs w:val="31"/>
              <w:highlight w:val="none"/>
              <w:lang w:val="en-US" w:eastAsia="zh-CN"/>
            </w:rPr>
            <w:t>6</w:t>
          </w:r>
          <w:r>
            <w:rPr>
              <w:rFonts w:ascii="仿宋" w:hAnsi="仿宋" w:eastAsia="仿宋" w:cs="仿宋"/>
              <w:bCs/>
              <w:color w:val="auto"/>
              <w:spacing w:val="0"/>
              <w:w w:val="100"/>
              <w:position w:val="0"/>
              <w:szCs w:val="31"/>
              <w:highlight w:val="none"/>
            </w:rPr>
            <w:t>特殊时期污染风险防控能力分析</w:t>
          </w:r>
          <w:r>
            <w:rPr>
              <w:color w:val="auto"/>
            </w:rPr>
            <w:tab/>
          </w:r>
          <w:r>
            <w:rPr>
              <w:color w:val="auto"/>
            </w:rPr>
            <w:fldChar w:fldCharType="begin"/>
          </w:r>
          <w:r>
            <w:rPr>
              <w:color w:val="auto"/>
            </w:rPr>
            <w:instrText xml:space="preserve"> PAGEREF _Toc26513 \h </w:instrText>
          </w:r>
          <w:r>
            <w:rPr>
              <w:color w:val="auto"/>
            </w:rPr>
            <w:fldChar w:fldCharType="separate"/>
          </w:r>
          <w:r>
            <w:rPr>
              <w:color w:val="auto"/>
            </w:rPr>
            <w:t>41</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6AA768CD">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_Toc5946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6.</w:t>
          </w:r>
          <w:r>
            <w:rPr>
              <w:rFonts w:hint="eastAsia" w:ascii="仿宋" w:hAnsi="仿宋" w:eastAsia="仿宋" w:cs="仿宋"/>
              <w:bCs/>
              <w:color w:val="auto"/>
              <w:spacing w:val="0"/>
              <w:w w:val="100"/>
              <w:position w:val="0"/>
              <w:szCs w:val="31"/>
              <w:highlight w:val="none"/>
              <w:lang w:val="en-US" w:eastAsia="zh-CN"/>
            </w:rPr>
            <w:t>7</w:t>
          </w:r>
          <w:r>
            <w:rPr>
              <w:rFonts w:ascii="仿宋" w:hAnsi="仿宋" w:eastAsia="仿宋" w:cs="仿宋"/>
              <w:bCs/>
              <w:color w:val="auto"/>
              <w:spacing w:val="0"/>
              <w:w w:val="100"/>
              <w:position w:val="0"/>
              <w:szCs w:val="31"/>
              <w:highlight w:val="none"/>
            </w:rPr>
            <w:t>水源保护区的环境风险防范分析</w:t>
          </w:r>
          <w:r>
            <w:rPr>
              <w:color w:val="auto"/>
            </w:rPr>
            <w:tab/>
          </w:r>
          <w:r>
            <w:rPr>
              <w:color w:val="auto"/>
            </w:rPr>
            <w:fldChar w:fldCharType="begin"/>
          </w:r>
          <w:r>
            <w:rPr>
              <w:color w:val="auto"/>
            </w:rPr>
            <w:instrText xml:space="preserve"> PAGEREF _Toc5946 \h </w:instrText>
          </w:r>
          <w:r>
            <w:rPr>
              <w:color w:val="auto"/>
            </w:rPr>
            <w:fldChar w:fldCharType="separate"/>
          </w:r>
          <w:r>
            <w:rPr>
              <w:color w:val="auto"/>
            </w:rPr>
            <w:t>42</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7CCAC229">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_Toc28724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6.</w:t>
          </w:r>
          <w:r>
            <w:rPr>
              <w:rFonts w:hint="eastAsia" w:ascii="仿宋" w:hAnsi="仿宋" w:eastAsia="仿宋" w:cs="仿宋"/>
              <w:bCs/>
              <w:color w:val="auto"/>
              <w:spacing w:val="0"/>
              <w:w w:val="100"/>
              <w:position w:val="0"/>
              <w:szCs w:val="31"/>
              <w:highlight w:val="none"/>
              <w:lang w:val="en-US" w:eastAsia="zh-CN"/>
            </w:rPr>
            <w:t>8</w:t>
          </w:r>
          <w:r>
            <w:rPr>
              <w:rFonts w:ascii="仿宋" w:hAnsi="仿宋" w:eastAsia="仿宋" w:cs="仿宋"/>
              <w:bCs/>
              <w:color w:val="auto"/>
              <w:spacing w:val="0"/>
              <w:w w:val="100"/>
              <w:position w:val="0"/>
              <w:szCs w:val="31"/>
              <w:highlight w:val="none"/>
            </w:rPr>
            <w:t>取供水安全保障分析</w:t>
          </w:r>
          <w:r>
            <w:rPr>
              <w:color w:val="auto"/>
            </w:rPr>
            <w:tab/>
          </w:r>
          <w:r>
            <w:rPr>
              <w:color w:val="auto"/>
            </w:rPr>
            <w:fldChar w:fldCharType="begin"/>
          </w:r>
          <w:r>
            <w:rPr>
              <w:color w:val="auto"/>
            </w:rPr>
            <w:instrText xml:space="preserve"> PAGEREF _Toc28724 \h </w:instrText>
          </w:r>
          <w:r>
            <w:rPr>
              <w:color w:val="auto"/>
            </w:rPr>
            <w:fldChar w:fldCharType="separate"/>
          </w:r>
          <w:r>
            <w:rPr>
              <w:color w:val="auto"/>
            </w:rPr>
            <w:t>43</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0A6AA381">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_Toc5395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43"/>
              <w:highlight w:val="none"/>
            </w:rPr>
            <w:t>7完善环境风险防控措施的实施计划</w:t>
          </w:r>
          <w:r>
            <w:rPr>
              <w:color w:val="auto"/>
            </w:rPr>
            <w:tab/>
          </w:r>
          <w:r>
            <w:rPr>
              <w:color w:val="auto"/>
            </w:rPr>
            <w:fldChar w:fldCharType="begin"/>
          </w:r>
          <w:r>
            <w:rPr>
              <w:color w:val="auto"/>
            </w:rPr>
            <w:instrText xml:space="preserve"> PAGEREF _Toc5395 \h </w:instrText>
          </w:r>
          <w:r>
            <w:rPr>
              <w:color w:val="auto"/>
            </w:rPr>
            <w:fldChar w:fldCharType="separate"/>
          </w:r>
          <w:r>
            <w:rPr>
              <w:color w:val="auto"/>
            </w:rPr>
            <w:t>45</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6C51B007">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_Toc8190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43"/>
              <w:highlight w:val="none"/>
            </w:rPr>
            <w:t>8.结论</w:t>
          </w:r>
          <w:r>
            <w:rPr>
              <w:color w:val="auto"/>
            </w:rPr>
            <w:tab/>
          </w:r>
          <w:r>
            <w:rPr>
              <w:color w:val="auto"/>
            </w:rPr>
            <w:fldChar w:fldCharType="begin"/>
          </w:r>
          <w:r>
            <w:rPr>
              <w:color w:val="auto"/>
            </w:rPr>
            <w:instrText xml:space="preserve"> PAGEREF _Toc8190 \h </w:instrText>
          </w:r>
          <w:r>
            <w:rPr>
              <w:color w:val="auto"/>
            </w:rPr>
            <w:fldChar w:fldCharType="separate"/>
          </w:r>
          <w:r>
            <w:rPr>
              <w:color w:val="auto"/>
            </w:rPr>
            <w:t>47</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08002FB6">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_Toc14294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8.1.综合评估报告结论</w:t>
          </w:r>
          <w:r>
            <w:rPr>
              <w:color w:val="auto"/>
            </w:rPr>
            <w:tab/>
          </w:r>
          <w:r>
            <w:rPr>
              <w:color w:val="auto"/>
            </w:rPr>
            <w:fldChar w:fldCharType="begin"/>
          </w:r>
          <w:r>
            <w:rPr>
              <w:color w:val="auto"/>
            </w:rPr>
            <w:instrText xml:space="preserve"> PAGEREF _Toc14294 \h </w:instrText>
          </w:r>
          <w:r>
            <w:rPr>
              <w:color w:val="auto"/>
            </w:rPr>
            <w:fldChar w:fldCharType="separate"/>
          </w:r>
          <w:r>
            <w:rPr>
              <w:color w:val="auto"/>
            </w:rPr>
            <w:t>47</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4EF1C003">
          <w:pPr>
            <w:pStyle w:val="8"/>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_Toc5875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31"/>
              <w:highlight w:val="none"/>
            </w:rPr>
            <w:t>8.2.建议</w:t>
          </w:r>
          <w:r>
            <w:rPr>
              <w:color w:val="auto"/>
            </w:rPr>
            <w:tab/>
          </w:r>
          <w:r>
            <w:rPr>
              <w:color w:val="auto"/>
            </w:rPr>
            <w:fldChar w:fldCharType="begin"/>
          </w:r>
          <w:r>
            <w:rPr>
              <w:color w:val="auto"/>
            </w:rPr>
            <w:instrText xml:space="preserve"> PAGEREF _Toc5875 \h </w:instrText>
          </w:r>
          <w:r>
            <w:rPr>
              <w:color w:val="auto"/>
            </w:rPr>
            <w:fldChar w:fldCharType="separate"/>
          </w:r>
          <w:r>
            <w:rPr>
              <w:color w:val="auto"/>
            </w:rPr>
            <w:t>47</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3B5E77F0">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_Toc21600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28"/>
              <w:highlight w:val="none"/>
            </w:rPr>
            <w:t>附图1乌翠区饮用水水源保护区调整划分图</w:t>
          </w:r>
          <w:r>
            <w:rPr>
              <w:color w:val="auto"/>
            </w:rPr>
            <w:tab/>
          </w:r>
          <w:r>
            <w:rPr>
              <w:color w:val="auto"/>
            </w:rPr>
            <w:fldChar w:fldCharType="begin"/>
          </w:r>
          <w:r>
            <w:rPr>
              <w:color w:val="auto"/>
            </w:rPr>
            <w:instrText xml:space="preserve"> PAGEREF _Toc21600 \h </w:instrText>
          </w:r>
          <w:r>
            <w:rPr>
              <w:color w:val="auto"/>
            </w:rPr>
            <w:fldChar w:fldCharType="separate"/>
          </w:r>
          <w:r>
            <w:rPr>
              <w:color w:val="auto"/>
            </w:rPr>
            <w:t>48</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41E24EEE">
          <w:pPr>
            <w:pStyle w:val="7"/>
            <w:tabs>
              <w:tab w:val="right" w:leader="dot" w:pos="8640"/>
            </w:tabs>
            <w:rPr>
              <w:color w:val="auto"/>
            </w:rPr>
          </w:pPr>
          <w:r>
            <w:rPr>
              <w:rFonts w:hint="default" w:ascii="Times New Roman" w:hAnsi="Times New Roman" w:eastAsia="仿宋" w:cs="Times New Roman"/>
              <w:color w:val="auto"/>
              <w:spacing w:val="0"/>
              <w:w w:val="100"/>
              <w:position w:val="0"/>
              <w:szCs w:val="22"/>
              <w:highlight w:val="none"/>
            </w:rPr>
            <w:fldChar w:fldCharType="begin"/>
          </w:r>
          <w:r>
            <w:rPr>
              <w:rFonts w:hint="default" w:ascii="Times New Roman" w:hAnsi="Times New Roman" w:eastAsia="仿宋" w:cs="Times New Roman"/>
              <w:color w:val="auto"/>
              <w:spacing w:val="0"/>
              <w:w w:val="100"/>
              <w:position w:val="0"/>
              <w:szCs w:val="22"/>
              <w:highlight w:val="none"/>
            </w:rPr>
            <w:instrText xml:space="preserve"> HYPERLINK \l _Toc24508 </w:instrText>
          </w:r>
          <w:r>
            <w:rPr>
              <w:rFonts w:hint="default" w:ascii="Times New Roman" w:hAnsi="Times New Roman" w:eastAsia="仿宋" w:cs="Times New Roman"/>
              <w:color w:val="auto"/>
              <w:spacing w:val="0"/>
              <w:w w:val="100"/>
              <w:position w:val="0"/>
              <w:szCs w:val="22"/>
              <w:highlight w:val="none"/>
            </w:rPr>
            <w:fldChar w:fldCharType="separate"/>
          </w:r>
          <w:r>
            <w:rPr>
              <w:rFonts w:ascii="仿宋" w:hAnsi="仿宋" w:eastAsia="仿宋" w:cs="仿宋"/>
              <w:bCs/>
              <w:color w:val="auto"/>
              <w:spacing w:val="0"/>
              <w:w w:val="100"/>
              <w:position w:val="0"/>
              <w:szCs w:val="28"/>
              <w:highlight w:val="none"/>
            </w:rPr>
            <w:t>附图2乌翠区饮用水水源保护区监测断面分布图</w:t>
          </w:r>
          <w:r>
            <w:rPr>
              <w:color w:val="auto"/>
            </w:rPr>
            <w:tab/>
          </w:r>
          <w:r>
            <w:rPr>
              <w:color w:val="auto"/>
            </w:rPr>
            <w:fldChar w:fldCharType="begin"/>
          </w:r>
          <w:r>
            <w:rPr>
              <w:color w:val="auto"/>
            </w:rPr>
            <w:instrText xml:space="preserve"> PAGEREF _Toc24508 \h </w:instrText>
          </w:r>
          <w:r>
            <w:rPr>
              <w:color w:val="auto"/>
            </w:rPr>
            <w:fldChar w:fldCharType="separate"/>
          </w:r>
          <w:r>
            <w:rPr>
              <w:color w:val="auto"/>
            </w:rPr>
            <w:t>49</w:t>
          </w:r>
          <w:r>
            <w:rPr>
              <w:color w:val="auto"/>
            </w:rPr>
            <w:fldChar w:fldCharType="end"/>
          </w:r>
          <w:r>
            <w:rPr>
              <w:rFonts w:hint="default" w:ascii="Times New Roman" w:hAnsi="Times New Roman" w:eastAsia="仿宋" w:cs="Times New Roman"/>
              <w:color w:val="auto"/>
              <w:spacing w:val="0"/>
              <w:w w:val="100"/>
              <w:position w:val="0"/>
              <w:szCs w:val="22"/>
              <w:highlight w:val="none"/>
            </w:rPr>
            <w:fldChar w:fldCharType="end"/>
          </w:r>
        </w:p>
        <w:p w14:paraId="23FF8495">
          <w:pPr>
            <w:pStyle w:val="8"/>
            <w:tabs>
              <w:tab w:val="right" w:leader="dot" w:pos="8640"/>
            </w:tabs>
            <w:rPr>
              <w:color w:val="auto"/>
            </w:rPr>
          </w:pPr>
        </w:p>
        <w:p w14:paraId="31FBAC18">
          <w:pPr>
            <w:pStyle w:val="8"/>
            <w:keepNext w:val="0"/>
            <w:keepLines w:val="0"/>
            <w:pageBreakBefore w:val="0"/>
            <w:widowControl/>
            <w:tabs>
              <w:tab w:val="right" w:leader="dot" w:pos="8640"/>
            </w:tabs>
            <w:wordWrap/>
            <w:overflowPunct/>
            <w:topLinePunct w:val="0"/>
            <w:autoSpaceDE w:val="0"/>
            <w:autoSpaceDN w:val="0"/>
            <w:bidi w:val="0"/>
            <w:adjustRightInd w:val="0"/>
            <w:snapToGrid w:val="0"/>
            <w:spacing w:line="288" w:lineRule="auto"/>
            <w:textAlignment w:val="baseline"/>
            <w:rPr>
              <w:rFonts w:hint="default" w:ascii="Times New Roman" w:hAnsi="Times New Roman" w:eastAsia="仿宋" w:cs="Times New Roman"/>
              <w:snapToGrid w:val="0"/>
              <w:color w:val="auto"/>
              <w:spacing w:val="0"/>
              <w:w w:val="100"/>
              <w:kern w:val="0"/>
              <w:position w:val="0"/>
              <w:sz w:val="21"/>
              <w:szCs w:val="22"/>
              <w:highlight w:val="none"/>
              <w:lang w:val="en-US" w:eastAsia="en-US" w:bidi="ar-SA"/>
            </w:rPr>
          </w:pPr>
          <w:r>
            <w:rPr>
              <w:rFonts w:hint="default" w:ascii="Times New Roman" w:hAnsi="Times New Roman" w:eastAsia="仿宋" w:cs="Times New Roman"/>
              <w:color w:val="auto"/>
              <w:spacing w:val="0"/>
              <w:w w:val="100"/>
              <w:position w:val="0"/>
              <w:szCs w:val="22"/>
              <w:highlight w:val="none"/>
            </w:rPr>
            <w:fldChar w:fldCharType="end"/>
          </w:r>
        </w:p>
      </w:sdtContent>
    </w:sdt>
    <w:p w14:paraId="0746D969">
      <w:pPr>
        <w:keepNext w:val="0"/>
        <w:keepLines w:val="0"/>
        <w:pageBreakBefore w:val="0"/>
        <w:widowControl/>
        <w:tabs>
          <w:tab w:val="right" w:leader="dot" w:pos="9387"/>
        </w:tabs>
        <w:kinsoku/>
        <w:wordWrap/>
        <w:overflowPunct/>
        <w:topLinePunct w:val="0"/>
        <w:autoSpaceDE w:val="0"/>
        <w:autoSpaceDN w:val="0"/>
        <w:bidi w:val="0"/>
        <w:adjustRightInd w:val="0"/>
        <w:snapToGrid w:val="0"/>
        <w:spacing w:before="62" w:line="221" w:lineRule="auto"/>
        <w:rPr>
          <w:rFonts w:hint="default" w:ascii="Times New Roman" w:hAnsi="Times New Roman" w:eastAsia="仿宋" w:cs="Times New Roman"/>
          <w:snapToGrid w:val="0"/>
          <w:color w:val="auto"/>
          <w:spacing w:val="0"/>
          <w:w w:val="100"/>
          <w:kern w:val="0"/>
          <w:position w:val="0"/>
          <w:sz w:val="21"/>
          <w:szCs w:val="22"/>
          <w:highlight w:val="none"/>
          <w:lang w:val="en-US" w:eastAsia="en-US" w:bidi="ar-SA"/>
        </w:rPr>
        <w:sectPr>
          <w:pgSz w:w="12240" w:h="15840"/>
          <w:pgMar w:top="1440" w:right="1800" w:bottom="1440" w:left="1800" w:header="0" w:footer="0" w:gutter="0"/>
          <w:pgNumType w:fmt="decimal"/>
          <w:cols w:space="720" w:num="1"/>
        </w:sectPr>
      </w:pPr>
    </w:p>
    <w:p w14:paraId="504B7892">
      <w:pPr>
        <w:keepNext w:val="0"/>
        <w:keepLines w:val="0"/>
        <w:pageBreakBefore w:val="0"/>
        <w:widowControl/>
        <w:kinsoku/>
        <w:wordWrap/>
        <w:overflowPunct/>
        <w:topLinePunct w:val="0"/>
        <w:autoSpaceDE w:val="0"/>
        <w:autoSpaceDN w:val="0"/>
        <w:bidi w:val="0"/>
        <w:adjustRightInd w:val="0"/>
        <w:snapToGrid w:val="0"/>
        <w:spacing w:before="88" w:line="221" w:lineRule="auto"/>
        <w:ind w:left="3904"/>
        <w:outlineLvl w:val="0"/>
        <w:rPr>
          <w:rFonts w:ascii="仿宋" w:hAnsi="仿宋" w:eastAsia="仿宋" w:cs="仿宋"/>
          <w:color w:val="auto"/>
          <w:spacing w:val="0"/>
          <w:w w:val="100"/>
          <w:position w:val="0"/>
          <w:sz w:val="43"/>
          <w:szCs w:val="43"/>
          <w:highlight w:val="none"/>
        </w:rPr>
      </w:pPr>
      <w:bookmarkStart w:id="312" w:name="bookmark96"/>
      <w:bookmarkEnd w:id="312"/>
      <w:bookmarkStart w:id="313" w:name="_Toc18110"/>
      <w:bookmarkStart w:id="314" w:name="_Toc639"/>
      <w:bookmarkStart w:id="315" w:name="_Toc520"/>
      <w:bookmarkStart w:id="316" w:name="_Toc20545"/>
      <w:bookmarkStart w:id="317" w:name="_Toc21202"/>
      <w:bookmarkStart w:id="318" w:name="_Toc1225"/>
      <w:r>
        <w:rPr>
          <w:rFonts w:ascii="仿宋" w:hAnsi="仿宋" w:eastAsia="仿宋" w:cs="仿宋"/>
          <w:b/>
          <w:bCs/>
          <w:color w:val="auto"/>
          <w:spacing w:val="0"/>
          <w:w w:val="100"/>
          <w:position w:val="0"/>
          <w:sz w:val="43"/>
          <w:szCs w:val="43"/>
          <w:highlight w:val="none"/>
        </w:rPr>
        <w:t>1前言</w:t>
      </w:r>
      <w:bookmarkEnd w:id="313"/>
      <w:bookmarkEnd w:id="314"/>
      <w:bookmarkEnd w:id="315"/>
      <w:bookmarkEnd w:id="316"/>
      <w:bookmarkEnd w:id="317"/>
      <w:bookmarkEnd w:id="318"/>
    </w:p>
    <w:p w14:paraId="4853C514">
      <w:pPr>
        <w:pStyle w:val="3"/>
        <w:keepNext w:val="0"/>
        <w:keepLines w:val="0"/>
        <w:pageBreakBefore w:val="0"/>
        <w:widowControl/>
        <w:kinsoku/>
        <w:wordWrap/>
        <w:overflowPunct/>
        <w:topLinePunct w:val="0"/>
        <w:autoSpaceDE w:val="0"/>
        <w:autoSpaceDN w:val="0"/>
        <w:bidi w:val="0"/>
        <w:adjustRightInd w:val="0"/>
        <w:snapToGrid w:val="0"/>
        <w:spacing w:line="465" w:lineRule="auto"/>
        <w:rPr>
          <w:color w:val="auto"/>
          <w:spacing w:val="0"/>
          <w:w w:val="100"/>
          <w:position w:val="0"/>
          <w:highlight w:val="none"/>
        </w:rPr>
      </w:pPr>
    </w:p>
    <w:p w14:paraId="7CE0A494">
      <w:pPr>
        <w:keepNext w:val="0"/>
        <w:keepLines w:val="0"/>
        <w:pageBreakBefore w:val="0"/>
        <w:widowControl/>
        <w:kinsoku/>
        <w:wordWrap/>
        <w:overflowPunct/>
        <w:topLinePunct w:val="0"/>
        <w:autoSpaceDE w:val="0"/>
        <w:autoSpaceDN w:val="0"/>
        <w:bidi w:val="0"/>
        <w:adjustRightInd w:val="0"/>
        <w:snapToGrid w:val="0"/>
        <w:spacing w:before="91" w:line="359" w:lineRule="auto"/>
        <w:ind w:firstLine="570"/>
        <w:jc w:val="both"/>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为贯彻</w:t>
      </w:r>
      <w:r>
        <w:rPr>
          <w:rFonts w:hint="eastAsia" w:ascii="仿宋" w:hAnsi="仿宋" w:eastAsia="仿宋" w:cs="仿宋"/>
          <w:color w:val="auto"/>
          <w:spacing w:val="0"/>
          <w:w w:val="100"/>
          <w:position w:val="0"/>
          <w:sz w:val="28"/>
          <w:szCs w:val="28"/>
          <w:highlight w:val="none"/>
          <w:lang w:eastAsia="zh-CN"/>
        </w:rPr>
        <w:t>习近平新时代中国特色社会主义思想</w:t>
      </w:r>
      <w:r>
        <w:rPr>
          <w:rFonts w:ascii="仿宋" w:hAnsi="仿宋" w:eastAsia="仿宋" w:cs="仿宋"/>
          <w:color w:val="auto"/>
          <w:spacing w:val="0"/>
          <w:w w:val="100"/>
          <w:position w:val="0"/>
          <w:sz w:val="28"/>
          <w:szCs w:val="28"/>
          <w:highlight w:val="none"/>
        </w:rPr>
        <w:t>，落实《水污染防治行动计划》（国发</w:t>
      </w:r>
      <w:r>
        <w:rPr>
          <w:rFonts w:hint="eastAsia" w:ascii="仿宋" w:hAnsi="仿宋" w:eastAsia="仿宋" w:cs="仿宋"/>
          <w:color w:val="auto"/>
          <w:spacing w:val="0"/>
          <w:w w:val="100"/>
          <w:position w:val="0"/>
          <w:sz w:val="28"/>
          <w:szCs w:val="28"/>
          <w:highlight w:val="none"/>
          <w:lang w:eastAsia="zh-CN"/>
        </w:rPr>
        <w:t>〔2015〕17号</w:t>
      </w:r>
      <w:r>
        <w:rPr>
          <w:rFonts w:ascii="仿宋" w:hAnsi="仿宋" w:eastAsia="仿宋" w:cs="仿宋"/>
          <w:color w:val="auto"/>
          <w:spacing w:val="0"/>
          <w:w w:val="100"/>
          <w:position w:val="0"/>
          <w:sz w:val="28"/>
          <w:szCs w:val="28"/>
          <w:highlight w:val="none"/>
        </w:rPr>
        <w:t>），进一步提高饮用水水源地规范化建设和环境保护水平，</w:t>
      </w:r>
      <w:r>
        <w:rPr>
          <w:rFonts w:hint="eastAsia" w:ascii="仿宋" w:hAnsi="仿宋" w:eastAsia="仿宋" w:cs="仿宋"/>
          <w:color w:val="auto"/>
          <w:spacing w:val="0"/>
          <w:w w:val="100"/>
          <w:position w:val="0"/>
          <w:sz w:val="28"/>
          <w:szCs w:val="28"/>
          <w:highlight w:val="none"/>
          <w:lang w:eastAsia="zh-CN"/>
        </w:rPr>
        <w:t>秉持“</w:t>
      </w:r>
      <w:r>
        <w:rPr>
          <w:rFonts w:ascii="仿宋" w:hAnsi="仿宋" w:eastAsia="仿宋" w:cs="仿宋"/>
          <w:color w:val="auto"/>
          <w:spacing w:val="0"/>
          <w:w w:val="100"/>
          <w:position w:val="0"/>
          <w:sz w:val="28"/>
          <w:szCs w:val="28"/>
          <w:highlight w:val="none"/>
        </w:rPr>
        <w:t>以人为本、预防为主”</w:t>
      </w:r>
      <w:r>
        <w:rPr>
          <w:rFonts w:hint="eastAsia" w:ascii="仿宋" w:hAnsi="仿宋" w:eastAsia="仿宋" w:cs="仿宋"/>
          <w:color w:val="auto"/>
          <w:spacing w:val="0"/>
          <w:w w:val="100"/>
          <w:position w:val="0"/>
          <w:sz w:val="28"/>
          <w:szCs w:val="28"/>
          <w:highlight w:val="none"/>
          <w:lang w:eastAsia="zh-CN"/>
        </w:rPr>
        <w:t>的原则，</w:t>
      </w:r>
      <w:r>
        <w:rPr>
          <w:rFonts w:ascii="仿宋" w:hAnsi="仿宋" w:eastAsia="仿宋" w:cs="仿宋"/>
          <w:color w:val="auto"/>
          <w:spacing w:val="0"/>
          <w:w w:val="100"/>
          <w:position w:val="0"/>
          <w:sz w:val="28"/>
          <w:szCs w:val="28"/>
          <w:highlight w:val="none"/>
        </w:rPr>
        <w:t>保证饮用水安全。开展城市集中式饮用水水源地风险评估，是开展水源环境常态管理的重要内容，对于全面提高应对饮用水源地突发环境事件</w:t>
      </w:r>
      <w:r>
        <w:rPr>
          <w:rFonts w:hint="eastAsia" w:ascii="仿宋" w:hAnsi="仿宋" w:eastAsia="仿宋" w:cs="仿宋"/>
          <w:color w:val="auto"/>
          <w:spacing w:val="0"/>
          <w:w w:val="100"/>
          <w:position w:val="0"/>
          <w:sz w:val="28"/>
          <w:szCs w:val="28"/>
          <w:highlight w:val="none"/>
          <w:lang w:eastAsia="zh-CN"/>
        </w:rPr>
        <w:t>的预警和防控能力，做好饮用水源地突发环境事件的防控工作，及时、有效、科学地处置饮用水源地突发环境事件，最大限度减少环境污染造成的危害，确保公众饮水安全具有重要意义</w:t>
      </w:r>
      <w:r>
        <w:rPr>
          <w:rFonts w:ascii="仿宋" w:hAnsi="仿宋" w:eastAsia="仿宋" w:cs="仿宋"/>
          <w:color w:val="auto"/>
          <w:spacing w:val="0"/>
          <w:w w:val="100"/>
          <w:position w:val="0"/>
          <w:sz w:val="28"/>
          <w:szCs w:val="28"/>
          <w:highlight w:val="none"/>
        </w:rPr>
        <w:t>。</w:t>
      </w:r>
    </w:p>
    <w:p w14:paraId="5D4951B1">
      <w:pPr>
        <w:keepNext w:val="0"/>
        <w:keepLines w:val="0"/>
        <w:pageBreakBefore w:val="0"/>
        <w:widowControl/>
        <w:kinsoku/>
        <w:wordWrap/>
        <w:overflowPunct/>
        <w:topLinePunct w:val="0"/>
        <w:autoSpaceDE w:val="0"/>
        <w:autoSpaceDN w:val="0"/>
        <w:bidi w:val="0"/>
        <w:adjustRightInd w:val="0"/>
        <w:snapToGrid w:val="0"/>
        <w:spacing w:line="359" w:lineRule="auto"/>
        <w:ind w:right="256" w:firstLine="532"/>
        <w:jc w:val="both"/>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伊春市乌翠</w:t>
      </w:r>
      <w:r>
        <w:rPr>
          <w:rFonts w:hint="eastAsia" w:ascii="仿宋" w:hAnsi="仿宋" w:eastAsia="仿宋" w:cs="仿宋"/>
          <w:color w:val="auto"/>
          <w:spacing w:val="0"/>
          <w:w w:val="100"/>
          <w:position w:val="0"/>
          <w:sz w:val="28"/>
          <w:szCs w:val="28"/>
          <w:highlight w:val="none"/>
          <w:lang w:val="en-US" w:eastAsia="zh-CN"/>
        </w:rPr>
        <w:t>区人民政府</w:t>
      </w:r>
      <w:r>
        <w:rPr>
          <w:rFonts w:ascii="仿宋" w:hAnsi="仿宋" w:eastAsia="仿宋" w:cs="仿宋"/>
          <w:color w:val="auto"/>
          <w:spacing w:val="0"/>
          <w:w w:val="100"/>
          <w:position w:val="0"/>
          <w:sz w:val="28"/>
          <w:szCs w:val="28"/>
          <w:highlight w:val="none"/>
        </w:rPr>
        <w:t>积极开展</w:t>
      </w:r>
      <w:r>
        <w:rPr>
          <w:rFonts w:hint="eastAsia" w:ascii="仿宋" w:hAnsi="仿宋" w:eastAsia="仿宋" w:cs="仿宋"/>
          <w:color w:val="auto"/>
          <w:spacing w:val="0"/>
          <w:w w:val="100"/>
          <w:position w:val="0"/>
          <w:sz w:val="28"/>
          <w:szCs w:val="28"/>
          <w:highlight w:val="none"/>
          <w:lang w:eastAsia="zh-CN"/>
        </w:rPr>
        <w:t>《伊春市乌翠区集中式地表水饮用水水源地突发环境事件风险评估报告》的编制工作，</w:t>
      </w:r>
      <w:r>
        <w:rPr>
          <w:rFonts w:ascii="仿宋" w:hAnsi="仿宋" w:eastAsia="仿宋" w:cs="仿宋"/>
          <w:color w:val="auto"/>
          <w:spacing w:val="0"/>
          <w:w w:val="100"/>
          <w:position w:val="0"/>
          <w:sz w:val="28"/>
          <w:szCs w:val="28"/>
          <w:highlight w:val="none"/>
        </w:rPr>
        <w:t>针对饮用水水源地，国家没有颁发正式的风险评估指南，本评估报告参照《行政区域突发环境事件风险评估推荐方法</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集中式饮用水水源环境保护指南（试行）》，同时结合《集中式地表水饮用水水源地突发环境事件应急预案编制指南（试行）》进行评估。</w:t>
      </w:r>
    </w:p>
    <w:p w14:paraId="756C6328">
      <w:pPr>
        <w:keepNext w:val="0"/>
        <w:keepLines w:val="0"/>
        <w:pageBreakBefore w:val="0"/>
        <w:widowControl/>
        <w:kinsoku/>
        <w:wordWrap/>
        <w:overflowPunct/>
        <w:topLinePunct w:val="0"/>
        <w:autoSpaceDE w:val="0"/>
        <w:autoSpaceDN w:val="0"/>
        <w:bidi w:val="0"/>
        <w:adjustRightInd w:val="0"/>
        <w:snapToGrid w:val="0"/>
        <w:spacing w:before="3" w:line="359" w:lineRule="auto"/>
        <w:ind w:right="262" w:firstLine="560"/>
        <w:jc w:val="both"/>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本报告对涉及西山水库饮用水源地的环境风险源</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风险物质、风险防控措施、环境安全隐患等进行全面排查，对域内可能发生的典型突发环境事件进行情景分析，进而定性和定量评估水源地突发环境事件的影响。针对水源地环境风险特征以及存在的环境风险隐患，从技术、工程和管理等方面提出科学、可行的突发环境事件风险防范、应急处置措施，</w:t>
      </w:r>
      <w:r>
        <w:rPr>
          <w:rFonts w:hint="eastAsia" w:ascii="仿宋" w:hAnsi="仿宋" w:eastAsia="仿宋" w:cs="仿宋"/>
          <w:color w:val="auto"/>
          <w:spacing w:val="0"/>
          <w:w w:val="100"/>
          <w:position w:val="0"/>
          <w:sz w:val="28"/>
          <w:szCs w:val="28"/>
          <w:highlight w:val="none"/>
          <w:lang w:eastAsia="zh-CN"/>
        </w:rPr>
        <w:t>以</w:t>
      </w:r>
      <w:r>
        <w:rPr>
          <w:rFonts w:ascii="仿宋" w:hAnsi="仿宋" w:eastAsia="仿宋" w:cs="仿宋"/>
          <w:color w:val="auto"/>
          <w:spacing w:val="0"/>
          <w:w w:val="100"/>
          <w:position w:val="0"/>
          <w:sz w:val="28"/>
          <w:szCs w:val="28"/>
          <w:highlight w:val="none"/>
        </w:rPr>
        <w:t>有效应对水源地突发环境事件，最大程度降低突发环境事件对水源地水质</w:t>
      </w:r>
      <w:r>
        <w:rPr>
          <w:rFonts w:hint="eastAsia" w:ascii="仿宋" w:hAnsi="仿宋" w:eastAsia="仿宋" w:cs="仿宋"/>
          <w:color w:val="auto"/>
          <w:spacing w:val="0"/>
          <w:w w:val="100"/>
          <w:position w:val="0"/>
          <w:sz w:val="28"/>
          <w:szCs w:val="28"/>
          <w:highlight w:val="none"/>
          <w:lang w:eastAsia="zh-CN"/>
        </w:rPr>
        <w:t>的影响</w:t>
      </w:r>
      <w:r>
        <w:rPr>
          <w:rFonts w:ascii="仿宋" w:hAnsi="仿宋" w:eastAsia="仿宋" w:cs="仿宋"/>
          <w:color w:val="auto"/>
          <w:spacing w:val="0"/>
          <w:w w:val="100"/>
          <w:position w:val="0"/>
          <w:sz w:val="28"/>
          <w:szCs w:val="28"/>
          <w:highlight w:val="none"/>
        </w:rPr>
        <w:t>，为规范西山水库水源地突发环境事件应对的各项工作提供指导。</w:t>
      </w:r>
    </w:p>
    <w:p w14:paraId="6179FDBD">
      <w:pPr>
        <w:keepNext w:val="0"/>
        <w:keepLines w:val="0"/>
        <w:pageBreakBefore w:val="0"/>
        <w:widowControl/>
        <w:kinsoku/>
        <w:wordWrap/>
        <w:overflowPunct/>
        <w:topLinePunct w:val="0"/>
        <w:autoSpaceDE w:val="0"/>
        <w:autoSpaceDN w:val="0"/>
        <w:bidi w:val="0"/>
        <w:adjustRightInd w:val="0"/>
        <w:snapToGrid w:val="0"/>
        <w:spacing w:line="359" w:lineRule="auto"/>
        <w:rPr>
          <w:rFonts w:ascii="仿宋" w:hAnsi="仿宋" w:eastAsia="仿宋" w:cs="仿宋"/>
          <w:color w:val="auto"/>
          <w:spacing w:val="0"/>
          <w:w w:val="100"/>
          <w:position w:val="0"/>
          <w:sz w:val="28"/>
          <w:szCs w:val="28"/>
          <w:highlight w:val="none"/>
        </w:rPr>
        <w:sectPr>
          <w:footerReference r:id="rId8" w:type="default"/>
          <w:pgSz w:w="11912" w:h="16841"/>
          <w:pgMar w:top="1440" w:right="1800" w:bottom="1440" w:left="1800" w:header="0" w:footer="1253" w:gutter="0"/>
          <w:pgNumType w:fmt="decimal" w:start="1"/>
          <w:cols w:space="720" w:num="1"/>
        </w:sectPr>
      </w:pPr>
    </w:p>
    <w:p w14:paraId="390A3D5A">
      <w:pPr>
        <w:keepNext w:val="0"/>
        <w:keepLines w:val="0"/>
        <w:pageBreakBefore w:val="0"/>
        <w:widowControl/>
        <w:kinsoku/>
        <w:wordWrap/>
        <w:overflowPunct/>
        <w:topLinePunct w:val="0"/>
        <w:autoSpaceDE w:val="0"/>
        <w:autoSpaceDN w:val="0"/>
        <w:bidi w:val="0"/>
        <w:adjustRightInd w:val="0"/>
        <w:snapToGrid w:val="0"/>
        <w:spacing w:before="88" w:line="223" w:lineRule="auto"/>
        <w:ind w:left="3879"/>
        <w:outlineLvl w:val="0"/>
        <w:rPr>
          <w:rFonts w:ascii="仿宋" w:hAnsi="仿宋" w:eastAsia="仿宋" w:cs="仿宋"/>
          <w:color w:val="auto"/>
          <w:spacing w:val="0"/>
          <w:w w:val="100"/>
          <w:position w:val="0"/>
          <w:sz w:val="43"/>
          <w:szCs w:val="43"/>
          <w:highlight w:val="none"/>
        </w:rPr>
      </w:pPr>
      <w:bookmarkStart w:id="319" w:name="bookmark98"/>
      <w:bookmarkEnd w:id="319"/>
      <w:bookmarkStart w:id="320" w:name="bookmark97"/>
      <w:bookmarkEnd w:id="320"/>
      <w:bookmarkStart w:id="321" w:name="_Toc1023"/>
      <w:bookmarkStart w:id="322" w:name="_Toc5503"/>
      <w:bookmarkStart w:id="323" w:name="_Toc18022"/>
      <w:bookmarkStart w:id="324" w:name="_Toc10601"/>
      <w:bookmarkStart w:id="325" w:name="_Toc31876"/>
      <w:bookmarkStart w:id="326" w:name="_Toc31582"/>
      <w:r>
        <w:rPr>
          <w:rFonts w:ascii="仿宋" w:hAnsi="仿宋" w:eastAsia="仿宋" w:cs="仿宋"/>
          <w:b/>
          <w:bCs/>
          <w:color w:val="auto"/>
          <w:spacing w:val="0"/>
          <w:w w:val="100"/>
          <w:position w:val="0"/>
          <w:sz w:val="43"/>
          <w:szCs w:val="43"/>
          <w:highlight w:val="none"/>
        </w:rPr>
        <w:t>2总则</w:t>
      </w:r>
      <w:bookmarkEnd w:id="321"/>
      <w:bookmarkEnd w:id="322"/>
      <w:bookmarkEnd w:id="323"/>
      <w:bookmarkEnd w:id="324"/>
      <w:bookmarkEnd w:id="325"/>
      <w:bookmarkEnd w:id="326"/>
    </w:p>
    <w:p w14:paraId="48749A61">
      <w:pPr>
        <w:pStyle w:val="3"/>
        <w:keepNext w:val="0"/>
        <w:keepLines w:val="0"/>
        <w:pageBreakBefore w:val="0"/>
        <w:widowControl/>
        <w:kinsoku/>
        <w:wordWrap/>
        <w:overflowPunct/>
        <w:topLinePunct w:val="0"/>
        <w:autoSpaceDE w:val="0"/>
        <w:autoSpaceDN w:val="0"/>
        <w:bidi w:val="0"/>
        <w:adjustRightInd w:val="0"/>
        <w:snapToGrid w:val="0"/>
        <w:spacing w:line="360" w:lineRule="auto"/>
        <w:ind w:left="0" w:firstLine="420" w:firstLineChars="200"/>
        <w:textAlignment w:val="baseline"/>
        <w:rPr>
          <w:color w:val="auto"/>
          <w:spacing w:val="0"/>
          <w:w w:val="100"/>
          <w:position w:val="0"/>
          <w:highlight w:val="none"/>
        </w:rPr>
      </w:pPr>
    </w:p>
    <w:p w14:paraId="67140A90">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outlineLvl w:val="1"/>
        <w:rPr>
          <w:rFonts w:ascii="仿宋" w:hAnsi="仿宋" w:eastAsia="仿宋" w:cs="仿宋"/>
          <w:color w:val="auto"/>
          <w:spacing w:val="0"/>
          <w:w w:val="100"/>
          <w:position w:val="0"/>
          <w:sz w:val="31"/>
          <w:szCs w:val="31"/>
          <w:highlight w:val="none"/>
        </w:rPr>
      </w:pPr>
      <w:bookmarkStart w:id="327" w:name="_Toc24512"/>
      <w:bookmarkStart w:id="328" w:name="_Toc14651"/>
      <w:bookmarkStart w:id="329" w:name="_Toc19359"/>
      <w:bookmarkStart w:id="330" w:name="_Toc5693"/>
      <w:bookmarkStart w:id="331" w:name="_Toc12376"/>
      <w:bookmarkStart w:id="332" w:name="_Toc2712"/>
      <w:r>
        <w:rPr>
          <w:rFonts w:ascii="仿宋" w:hAnsi="仿宋" w:eastAsia="仿宋" w:cs="仿宋"/>
          <w:b/>
          <w:bCs/>
          <w:color w:val="auto"/>
          <w:spacing w:val="0"/>
          <w:w w:val="100"/>
          <w:position w:val="0"/>
          <w:sz w:val="31"/>
          <w:szCs w:val="31"/>
          <w:highlight w:val="none"/>
        </w:rPr>
        <w:t>2.1编制原则</w:t>
      </w:r>
      <w:bookmarkEnd w:id="327"/>
      <w:bookmarkEnd w:id="328"/>
      <w:bookmarkEnd w:id="329"/>
      <w:bookmarkEnd w:id="330"/>
      <w:bookmarkEnd w:id="331"/>
      <w:bookmarkEnd w:id="332"/>
    </w:p>
    <w:p w14:paraId="40D6F0A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（1）全面性原则</w:t>
      </w:r>
    </w:p>
    <w:p w14:paraId="534533E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在</w:t>
      </w:r>
      <w:r>
        <w:rPr>
          <w:rFonts w:hint="eastAsia" w:ascii="仿宋" w:hAnsi="仿宋" w:eastAsia="仿宋" w:cs="仿宋"/>
          <w:color w:val="auto"/>
          <w:spacing w:val="0"/>
          <w:w w:val="100"/>
          <w:position w:val="0"/>
          <w:sz w:val="28"/>
          <w:szCs w:val="28"/>
          <w:highlight w:val="none"/>
          <w:lang w:eastAsia="zh-CN"/>
        </w:rPr>
        <w:t>对饮用水</w:t>
      </w:r>
      <w:r>
        <w:rPr>
          <w:rFonts w:ascii="仿宋" w:hAnsi="仿宋" w:eastAsia="仿宋" w:cs="仿宋"/>
          <w:color w:val="auto"/>
          <w:spacing w:val="0"/>
          <w:w w:val="100"/>
          <w:position w:val="0"/>
          <w:sz w:val="28"/>
          <w:szCs w:val="28"/>
          <w:highlight w:val="none"/>
        </w:rPr>
        <w:t>水源地环境风险进行评估时，应致力于反映环境风险所有的不确定性和可能造成的所有影响。</w:t>
      </w:r>
    </w:p>
    <w:p w14:paraId="3C1FDFD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（2）真实性原则</w:t>
      </w:r>
    </w:p>
    <w:p w14:paraId="02F14A3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环境风险评估所依据的资料数据必须是依据对饮用水水源地的实地调查和相关统计数据分析得来，不能是凭空想象或主观臆造的。</w:t>
      </w:r>
    </w:p>
    <w:p w14:paraId="65773D9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（3）可操作性原则</w:t>
      </w:r>
    </w:p>
    <w:p w14:paraId="73CB749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对于饮用水水源地的每一项环境风险，需要提出具有可操作性的环境风险防控措施，加强环境风险管理，防范突发环境事件的发生。</w:t>
      </w:r>
    </w:p>
    <w:p w14:paraId="386744E4">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outlineLvl w:val="1"/>
        <w:rPr>
          <w:rFonts w:ascii="仿宋" w:hAnsi="仿宋" w:eastAsia="仿宋" w:cs="仿宋"/>
          <w:color w:val="auto"/>
          <w:spacing w:val="0"/>
          <w:w w:val="100"/>
          <w:position w:val="0"/>
          <w:sz w:val="31"/>
          <w:szCs w:val="31"/>
          <w:highlight w:val="none"/>
        </w:rPr>
      </w:pPr>
      <w:bookmarkStart w:id="333" w:name="bookmark99"/>
      <w:bookmarkEnd w:id="333"/>
      <w:bookmarkStart w:id="334" w:name="_Toc30243"/>
      <w:bookmarkStart w:id="335" w:name="_Toc7753"/>
      <w:bookmarkStart w:id="336" w:name="_Toc11776"/>
      <w:bookmarkStart w:id="337" w:name="_Toc9652"/>
      <w:bookmarkStart w:id="338" w:name="_Toc2420"/>
      <w:bookmarkStart w:id="339" w:name="_Toc19393"/>
      <w:r>
        <w:rPr>
          <w:rFonts w:ascii="仿宋" w:hAnsi="仿宋" w:eastAsia="仿宋" w:cs="仿宋"/>
          <w:b/>
          <w:bCs/>
          <w:color w:val="auto"/>
          <w:spacing w:val="0"/>
          <w:w w:val="100"/>
          <w:position w:val="0"/>
          <w:sz w:val="31"/>
          <w:szCs w:val="31"/>
          <w:highlight w:val="none"/>
        </w:rPr>
        <w:t>2.2编制依据</w:t>
      </w:r>
      <w:bookmarkEnd w:id="334"/>
      <w:bookmarkEnd w:id="335"/>
      <w:bookmarkEnd w:id="336"/>
      <w:bookmarkEnd w:id="337"/>
      <w:bookmarkEnd w:id="338"/>
      <w:bookmarkEnd w:id="339"/>
    </w:p>
    <w:p w14:paraId="184399B2">
      <w:pPr>
        <w:keepNext w:val="0"/>
        <w:keepLines w:val="0"/>
        <w:pageBreakBefore w:val="0"/>
        <w:widowControl/>
        <w:kinsoku/>
        <w:wordWrap/>
        <w:overflowPunct/>
        <w:topLinePunct w:val="0"/>
        <w:autoSpaceDE w:val="0"/>
        <w:autoSpaceDN w:val="0"/>
        <w:bidi w:val="0"/>
        <w:adjustRightInd w:val="0"/>
        <w:snapToGrid w:val="0"/>
        <w:spacing w:line="360" w:lineRule="auto"/>
        <w:ind w:lef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按照相关法律法规、标准规范及相关技术文件编制，具体见表2-1。</w:t>
      </w:r>
    </w:p>
    <w:p w14:paraId="5D157C44">
      <w:pPr>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表2-1编制依据一览表</w:t>
      </w:r>
    </w:p>
    <w:p w14:paraId="1ACCDE2C">
      <w:pPr>
        <w:keepNext w:val="0"/>
        <w:keepLines w:val="0"/>
        <w:pageBreakBefore w:val="0"/>
        <w:widowControl/>
        <w:kinsoku/>
        <w:wordWrap/>
        <w:overflowPunct/>
        <w:topLinePunct w:val="0"/>
        <w:autoSpaceDE w:val="0"/>
        <w:autoSpaceDN w:val="0"/>
        <w:bidi w:val="0"/>
        <w:adjustRightInd w:val="0"/>
        <w:snapToGrid w:val="0"/>
        <w:spacing w:line="150" w:lineRule="exact"/>
        <w:rPr>
          <w:color w:val="auto"/>
          <w:spacing w:val="0"/>
          <w:w w:val="100"/>
          <w:position w:val="0"/>
          <w:highlight w:val="none"/>
        </w:rPr>
      </w:pPr>
    </w:p>
    <w:tbl>
      <w:tblPr>
        <w:tblStyle w:val="13"/>
        <w:tblW w:w="8862" w:type="dxa"/>
        <w:tblInd w:w="9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777"/>
        <w:gridCol w:w="7375"/>
      </w:tblGrid>
      <w:tr w14:paraId="67653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0" w:type="dxa"/>
            <w:vAlign w:val="center"/>
          </w:tcPr>
          <w:p w14:paraId="2B992C2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项目</w:t>
            </w:r>
          </w:p>
        </w:tc>
        <w:tc>
          <w:tcPr>
            <w:tcW w:w="777" w:type="dxa"/>
            <w:vAlign w:val="center"/>
          </w:tcPr>
          <w:p w14:paraId="42FC755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序号</w:t>
            </w:r>
          </w:p>
        </w:tc>
        <w:tc>
          <w:tcPr>
            <w:tcW w:w="7375" w:type="dxa"/>
            <w:vAlign w:val="center"/>
          </w:tcPr>
          <w:p w14:paraId="3C8FD86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内容</w:t>
            </w:r>
          </w:p>
        </w:tc>
      </w:tr>
      <w:tr w14:paraId="5F69DD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restart"/>
            <w:tcBorders>
              <w:bottom w:val="nil"/>
            </w:tcBorders>
            <w:textDirection w:val="tbRlV"/>
            <w:vAlign w:val="center"/>
          </w:tcPr>
          <w:p w14:paraId="6E77036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法律法规</w:t>
            </w:r>
          </w:p>
        </w:tc>
        <w:tc>
          <w:tcPr>
            <w:tcW w:w="777" w:type="dxa"/>
            <w:vAlign w:val="center"/>
          </w:tcPr>
          <w:p w14:paraId="4F7B261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w:t>
            </w:r>
          </w:p>
        </w:tc>
        <w:tc>
          <w:tcPr>
            <w:tcW w:w="7375" w:type="dxa"/>
            <w:vAlign w:val="center"/>
          </w:tcPr>
          <w:p w14:paraId="67BE6DDC">
            <w:pPr>
              <w:widowControl/>
              <w:wordWrap/>
              <w:autoSpaceDE w:val="0"/>
              <w:autoSpaceDN w:val="0"/>
              <w:adjustRightInd w:val="0"/>
              <w:snapToGrid w:val="0"/>
              <w:spacing w:line="240" w:lineRule="auto"/>
              <w:ind w:left="0" w:leftChars="0"/>
              <w:jc w:val="center"/>
              <w:textAlignment w:val="baseline"/>
              <w:rPr>
                <w:rFonts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《中华人民共和国生态环境法典》</w:t>
            </w:r>
            <w:r>
              <w:rPr>
                <w:rFonts w:hint="eastAsia" w:ascii="仿宋" w:hAnsi="仿宋" w:eastAsia="仿宋" w:cs="仿宋"/>
                <w:color w:val="auto"/>
                <w:spacing w:val="0"/>
                <w:w w:val="100"/>
                <w:position w:val="0"/>
                <w:sz w:val="24"/>
                <w:szCs w:val="24"/>
                <w:highlight w:val="none"/>
                <w:lang w:eastAsia="zh-CN"/>
              </w:rPr>
              <w:t>2026.8.15</w:t>
            </w:r>
          </w:p>
        </w:tc>
      </w:tr>
      <w:tr w14:paraId="7D28F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cBorders>
              <w:top w:val="nil"/>
              <w:bottom w:val="nil"/>
            </w:tcBorders>
            <w:textDirection w:val="tbRlV"/>
            <w:vAlign w:val="center"/>
          </w:tcPr>
          <w:p w14:paraId="1DE3B4D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45C66B4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2</w:t>
            </w:r>
          </w:p>
        </w:tc>
        <w:tc>
          <w:tcPr>
            <w:tcW w:w="7375" w:type="dxa"/>
            <w:vAlign w:val="center"/>
          </w:tcPr>
          <w:p w14:paraId="31BF57A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《中华人民共和国突发事件应对法》2007.11.01</w:t>
            </w:r>
          </w:p>
        </w:tc>
      </w:tr>
      <w:tr w14:paraId="74D44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tcBorders>
              <w:top w:val="nil"/>
              <w:bottom w:val="nil"/>
            </w:tcBorders>
            <w:textDirection w:val="tbRlV"/>
            <w:vAlign w:val="center"/>
          </w:tcPr>
          <w:p w14:paraId="6DFFD3B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4CD7DC6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3</w:t>
            </w:r>
          </w:p>
        </w:tc>
        <w:tc>
          <w:tcPr>
            <w:tcW w:w="7375" w:type="dxa"/>
            <w:vAlign w:val="center"/>
          </w:tcPr>
          <w:p w14:paraId="63F043A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《突发环境事件应急预案管理暂行办法》2010.09.28</w:t>
            </w:r>
          </w:p>
        </w:tc>
      </w:tr>
      <w:tr w14:paraId="341BF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cBorders>
              <w:top w:val="nil"/>
              <w:bottom w:val="nil"/>
            </w:tcBorders>
            <w:textDirection w:val="tbRlV"/>
            <w:vAlign w:val="center"/>
          </w:tcPr>
          <w:p w14:paraId="50D73EE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40B2098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4</w:t>
            </w:r>
          </w:p>
        </w:tc>
        <w:tc>
          <w:tcPr>
            <w:tcW w:w="7375" w:type="dxa"/>
            <w:vAlign w:val="center"/>
          </w:tcPr>
          <w:p w14:paraId="651026E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《国家突发环境事件应急预案》2006.01.24</w:t>
            </w:r>
          </w:p>
        </w:tc>
      </w:tr>
      <w:tr w14:paraId="0C31C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cBorders>
              <w:top w:val="nil"/>
              <w:bottom w:val="nil"/>
            </w:tcBorders>
            <w:textDirection w:val="tbRlV"/>
            <w:vAlign w:val="center"/>
          </w:tcPr>
          <w:p w14:paraId="06EEA25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232C55E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5</w:t>
            </w:r>
          </w:p>
        </w:tc>
        <w:tc>
          <w:tcPr>
            <w:tcW w:w="7375" w:type="dxa"/>
            <w:vAlign w:val="center"/>
          </w:tcPr>
          <w:p w14:paraId="5EAEF1E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《水污染防治计划》（国发</w:t>
            </w:r>
            <w:r>
              <w:rPr>
                <w:rFonts w:hint="eastAsia" w:ascii="仿宋" w:hAnsi="仿宋" w:eastAsia="仿宋" w:cs="仿宋"/>
                <w:color w:val="auto"/>
                <w:spacing w:val="0"/>
                <w:w w:val="100"/>
                <w:position w:val="0"/>
                <w:sz w:val="24"/>
                <w:szCs w:val="24"/>
                <w:highlight w:val="none"/>
                <w:lang w:eastAsia="zh-CN"/>
              </w:rPr>
              <w:t>〔2015〕17号</w:t>
            </w:r>
            <w:r>
              <w:rPr>
                <w:rFonts w:ascii="仿宋" w:hAnsi="仿宋" w:eastAsia="仿宋" w:cs="仿宋"/>
                <w:color w:val="auto"/>
                <w:spacing w:val="0"/>
                <w:w w:val="100"/>
                <w:position w:val="0"/>
                <w:sz w:val="24"/>
                <w:szCs w:val="24"/>
                <w:highlight w:val="none"/>
              </w:rPr>
              <w:t>）</w:t>
            </w:r>
          </w:p>
        </w:tc>
      </w:tr>
      <w:tr w14:paraId="2DB24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710" w:type="dxa"/>
            <w:vMerge w:val="continue"/>
            <w:tcBorders>
              <w:top w:val="nil"/>
              <w:bottom w:val="nil"/>
            </w:tcBorders>
            <w:textDirection w:val="tbRlV"/>
            <w:vAlign w:val="center"/>
          </w:tcPr>
          <w:p w14:paraId="5A90E77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0DA7DF2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6</w:t>
            </w:r>
          </w:p>
        </w:tc>
        <w:tc>
          <w:tcPr>
            <w:tcW w:w="7375" w:type="dxa"/>
            <w:vAlign w:val="center"/>
          </w:tcPr>
          <w:p w14:paraId="13DFCC0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《危险化学品安全管理条例》（国务院令第591号）</w:t>
            </w:r>
          </w:p>
        </w:tc>
      </w:tr>
      <w:tr w14:paraId="5536E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cBorders>
              <w:top w:val="nil"/>
              <w:bottom w:val="nil"/>
            </w:tcBorders>
            <w:textDirection w:val="tbRlV"/>
            <w:vAlign w:val="center"/>
          </w:tcPr>
          <w:p w14:paraId="41CFA6D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520BAE4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7</w:t>
            </w:r>
          </w:p>
        </w:tc>
        <w:tc>
          <w:tcPr>
            <w:tcW w:w="7375" w:type="dxa"/>
            <w:vAlign w:val="center"/>
          </w:tcPr>
          <w:p w14:paraId="2ED1E7F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《饮用水水源保护区污染防治管理规定》（环境保护部令第16号）</w:t>
            </w:r>
          </w:p>
        </w:tc>
      </w:tr>
      <w:tr w14:paraId="3A221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restart"/>
            <w:vAlign w:val="center"/>
          </w:tcPr>
          <w:p w14:paraId="349CE51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技术标准</w:t>
            </w:r>
          </w:p>
        </w:tc>
        <w:tc>
          <w:tcPr>
            <w:tcW w:w="777" w:type="dxa"/>
            <w:vAlign w:val="center"/>
          </w:tcPr>
          <w:p w14:paraId="0A413E0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w:t>
            </w:r>
          </w:p>
        </w:tc>
        <w:tc>
          <w:tcPr>
            <w:tcW w:w="7375" w:type="dxa"/>
            <w:vAlign w:val="center"/>
          </w:tcPr>
          <w:p w14:paraId="66946B3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《污水综合排放标准》（GB8978-1996）</w:t>
            </w:r>
          </w:p>
        </w:tc>
      </w:tr>
      <w:tr w14:paraId="4FDDC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vAlign w:val="center"/>
          </w:tcPr>
          <w:p w14:paraId="2B7259A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38D713B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7375" w:type="dxa"/>
            <w:vAlign w:val="center"/>
          </w:tcPr>
          <w:p w14:paraId="4794722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《生活饮用水卫生标准》</w:t>
            </w:r>
            <w:r>
              <w:rPr>
                <w:rFonts w:hint="eastAsia" w:ascii="仿宋" w:hAnsi="仿宋" w:eastAsia="仿宋" w:cs="仿宋"/>
                <w:color w:val="auto"/>
                <w:spacing w:val="0"/>
                <w:w w:val="100"/>
                <w:position w:val="0"/>
                <w:sz w:val="24"/>
                <w:szCs w:val="24"/>
                <w:highlight w:val="none"/>
                <w:lang w:eastAsia="zh-CN"/>
              </w:rPr>
              <w:t>（</w:t>
            </w:r>
            <w:r>
              <w:rPr>
                <w:rFonts w:ascii="仿宋" w:hAnsi="仿宋" w:eastAsia="仿宋" w:cs="仿宋"/>
                <w:color w:val="auto"/>
                <w:spacing w:val="0"/>
                <w:w w:val="100"/>
                <w:position w:val="0"/>
                <w:sz w:val="24"/>
                <w:szCs w:val="24"/>
                <w:highlight w:val="none"/>
              </w:rPr>
              <w:t>GB5749-20</w:t>
            </w:r>
            <w:r>
              <w:rPr>
                <w:rFonts w:hint="eastAsia" w:ascii="仿宋" w:hAnsi="仿宋" w:eastAsia="仿宋" w:cs="仿宋"/>
                <w:color w:val="auto"/>
                <w:spacing w:val="0"/>
                <w:w w:val="100"/>
                <w:position w:val="0"/>
                <w:sz w:val="24"/>
                <w:szCs w:val="24"/>
                <w:highlight w:val="none"/>
                <w:lang w:val="en-US" w:eastAsia="zh-CN"/>
              </w:rPr>
              <w:t>22</w:t>
            </w:r>
            <w:r>
              <w:rPr>
                <w:rFonts w:hint="eastAsia" w:ascii="仿宋" w:hAnsi="仿宋" w:eastAsia="仿宋" w:cs="仿宋"/>
                <w:color w:val="auto"/>
                <w:spacing w:val="0"/>
                <w:w w:val="100"/>
                <w:position w:val="0"/>
                <w:sz w:val="24"/>
                <w:szCs w:val="24"/>
                <w:highlight w:val="none"/>
                <w:lang w:eastAsia="zh-CN"/>
              </w:rPr>
              <w:t>）</w:t>
            </w:r>
          </w:p>
        </w:tc>
      </w:tr>
      <w:tr w14:paraId="6CC31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vAlign w:val="center"/>
          </w:tcPr>
          <w:p w14:paraId="74989B3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70E51F4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3</w:t>
            </w:r>
          </w:p>
        </w:tc>
        <w:tc>
          <w:tcPr>
            <w:tcW w:w="7375" w:type="dxa"/>
            <w:vAlign w:val="center"/>
          </w:tcPr>
          <w:p w14:paraId="2C21F40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《地表水环境质量标准》（GB3838-2002）</w:t>
            </w:r>
          </w:p>
        </w:tc>
      </w:tr>
      <w:tr w14:paraId="02888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0" w:type="dxa"/>
            <w:vMerge w:val="continue"/>
            <w:vAlign w:val="center"/>
          </w:tcPr>
          <w:p w14:paraId="3C5B1F7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10A0C46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4</w:t>
            </w:r>
          </w:p>
        </w:tc>
        <w:tc>
          <w:tcPr>
            <w:tcW w:w="7375" w:type="dxa"/>
            <w:vAlign w:val="center"/>
          </w:tcPr>
          <w:p w14:paraId="457D370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《城市居民生活用水量标准》（</w:t>
            </w:r>
            <w:r>
              <w:rPr>
                <w:rFonts w:hint="eastAsia" w:ascii="仿宋" w:hAnsi="仿宋" w:eastAsia="仿宋" w:cs="仿宋"/>
                <w:color w:val="auto"/>
                <w:spacing w:val="0"/>
                <w:w w:val="100"/>
                <w:position w:val="0"/>
                <w:sz w:val="24"/>
                <w:szCs w:val="24"/>
                <w:highlight w:val="none"/>
                <w:lang w:eastAsia="zh-CN"/>
              </w:rPr>
              <w:t>GB/T 50331-2002[2023年局部修订]</w:t>
            </w:r>
            <w:r>
              <w:rPr>
                <w:rFonts w:ascii="仿宋" w:hAnsi="仿宋" w:eastAsia="仿宋" w:cs="仿宋"/>
                <w:color w:val="auto"/>
                <w:spacing w:val="0"/>
                <w:w w:val="100"/>
                <w:position w:val="0"/>
                <w:sz w:val="24"/>
                <w:szCs w:val="24"/>
                <w:highlight w:val="none"/>
              </w:rPr>
              <w:t>）</w:t>
            </w:r>
          </w:p>
        </w:tc>
      </w:tr>
      <w:tr w14:paraId="55993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textDirection w:val="tbRlV"/>
            <w:vAlign w:val="center"/>
          </w:tcPr>
          <w:p w14:paraId="7F16337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p>
        </w:tc>
        <w:tc>
          <w:tcPr>
            <w:tcW w:w="777" w:type="dxa"/>
            <w:vAlign w:val="center"/>
          </w:tcPr>
          <w:p w14:paraId="37ED4BF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5</w:t>
            </w:r>
          </w:p>
        </w:tc>
        <w:tc>
          <w:tcPr>
            <w:tcW w:w="7375" w:type="dxa"/>
            <w:vAlign w:val="center"/>
          </w:tcPr>
          <w:p w14:paraId="11C4A1B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《农田灌溉水质标准》</w:t>
            </w:r>
            <w:r>
              <w:rPr>
                <w:rFonts w:hint="eastAsia" w:ascii="仿宋" w:hAnsi="仿宋" w:eastAsia="仿宋" w:cs="仿宋"/>
                <w:color w:val="auto"/>
                <w:spacing w:val="0"/>
                <w:w w:val="100"/>
                <w:position w:val="0"/>
                <w:sz w:val="24"/>
                <w:szCs w:val="24"/>
                <w:highlight w:val="none"/>
                <w:lang w:eastAsia="zh-CN"/>
              </w:rPr>
              <w:t>（GB 5084-2021）</w:t>
            </w:r>
          </w:p>
        </w:tc>
      </w:tr>
      <w:tr w14:paraId="3855B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extDirection w:val="tbRlV"/>
            <w:vAlign w:val="center"/>
          </w:tcPr>
          <w:p w14:paraId="714ADFC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0C2A34A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6</w:t>
            </w:r>
          </w:p>
        </w:tc>
        <w:tc>
          <w:tcPr>
            <w:tcW w:w="7375" w:type="dxa"/>
            <w:vAlign w:val="center"/>
          </w:tcPr>
          <w:p w14:paraId="60DB8EF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《畜禽养殖业污染物排放标准》</w:t>
            </w:r>
            <w:r>
              <w:rPr>
                <w:rFonts w:hint="eastAsia" w:ascii="仿宋" w:hAnsi="仿宋" w:eastAsia="仿宋" w:cs="仿宋"/>
                <w:color w:val="auto"/>
                <w:spacing w:val="0"/>
                <w:w w:val="100"/>
                <w:position w:val="0"/>
                <w:sz w:val="24"/>
                <w:szCs w:val="24"/>
                <w:highlight w:val="none"/>
                <w:lang w:eastAsia="zh-CN"/>
              </w:rPr>
              <w:t>（</w:t>
            </w:r>
            <w:r>
              <w:rPr>
                <w:rFonts w:ascii="仿宋" w:hAnsi="仿宋" w:eastAsia="仿宋" w:cs="仿宋"/>
                <w:color w:val="auto"/>
                <w:spacing w:val="0"/>
                <w:w w:val="100"/>
                <w:position w:val="0"/>
                <w:sz w:val="24"/>
                <w:szCs w:val="24"/>
                <w:highlight w:val="none"/>
              </w:rPr>
              <w:t>GB18596-2001</w:t>
            </w:r>
            <w:r>
              <w:rPr>
                <w:rFonts w:hint="eastAsia" w:ascii="仿宋" w:hAnsi="仿宋" w:eastAsia="仿宋" w:cs="仿宋"/>
                <w:color w:val="auto"/>
                <w:spacing w:val="0"/>
                <w:w w:val="100"/>
                <w:position w:val="0"/>
                <w:sz w:val="24"/>
                <w:szCs w:val="24"/>
                <w:highlight w:val="none"/>
                <w:lang w:eastAsia="zh-CN"/>
              </w:rPr>
              <w:t>）</w:t>
            </w:r>
          </w:p>
        </w:tc>
      </w:tr>
      <w:tr w14:paraId="31470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extDirection w:val="tbRlV"/>
            <w:vAlign w:val="center"/>
          </w:tcPr>
          <w:p w14:paraId="65FA60A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216292D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7</w:t>
            </w:r>
          </w:p>
        </w:tc>
        <w:tc>
          <w:tcPr>
            <w:tcW w:w="7375" w:type="dxa"/>
            <w:vAlign w:val="center"/>
          </w:tcPr>
          <w:p w14:paraId="73B038CB">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《渔业水质标准》</w:t>
            </w:r>
            <w:r>
              <w:rPr>
                <w:rFonts w:hint="eastAsia" w:ascii="仿宋" w:hAnsi="仿宋" w:eastAsia="仿宋" w:cs="仿宋"/>
                <w:color w:val="auto"/>
                <w:spacing w:val="0"/>
                <w:w w:val="100"/>
                <w:position w:val="0"/>
                <w:sz w:val="24"/>
                <w:szCs w:val="24"/>
                <w:highlight w:val="none"/>
                <w:lang w:eastAsia="zh-CN"/>
              </w:rPr>
              <w:t>（</w:t>
            </w:r>
            <w:r>
              <w:rPr>
                <w:rFonts w:ascii="仿宋" w:hAnsi="仿宋" w:eastAsia="仿宋" w:cs="仿宋"/>
                <w:color w:val="auto"/>
                <w:spacing w:val="0"/>
                <w:w w:val="100"/>
                <w:position w:val="0"/>
                <w:sz w:val="24"/>
                <w:szCs w:val="24"/>
                <w:highlight w:val="none"/>
              </w:rPr>
              <w:t>GB11607-</w:t>
            </w:r>
            <w:r>
              <w:rPr>
                <w:rFonts w:hint="eastAsia" w:ascii="仿宋" w:hAnsi="仿宋" w:eastAsia="仿宋" w:cs="仿宋"/>
                <w:color w:val="auto"/>
                <w:spacing w:val="0"/>
                <w:w w:val="100"/>
                <w:position w:val="0"/>
                <w:sz w:val="24"/>
                <w:szCs w:val="24"/>
                <w:highlight w:val="none"/>
                <w:lang w:val="en-US" w:eastAsia="zh-CN"/>
              </w:rPr>
              <w:t>89</w:t>
            </w:r>
            <w:r>
              <w:rPr>
                <w:rFonts w:hint="eastAsia" w:ascii="仿宋" w:hAnsi="仿宋" w:eastAsia="仿宋" w:cs="仿宋"/>
                <w:color w:val="auto"/>
                <w:spacing w:val="0"/>
                <w:w w:val="100"/>
                <w:position w:val="0"/>
                <w:sz w:val="24"/>
                <w:szCs w:val="24"/>
                <w:highlight w:val="none"/>
                <w:lang w:eastAsia="zh-CN"/>
              </w:rPr>
              <w:t>）</w:t>
            </w:r>
          </w:p>
        </w:tc>
      </w:tr>
      <w:tr w14:paraId="40C85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extDirection w:val="tbRlV"/>
            <w:vAlign w:val="center"/>
          </w:tcPr>
          <w:p w14:paraId="46244FE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4A1EE7E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8</w:t>
            </w:r>
          </w:p>
        </w:tc>
        <w:tc>
          <w:tcPr>
            <w:tcW w:w="7375" w:type="dxa"/>
            <w:vAlign w:val="center"/>
          </w:tcPr>
          <w:p w14:paraId="4AC1826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《国家危险废物名录》（202</w:t>
            </w:r>
            <w:r>
              <w:rPr>
                <w:rFonts w:hint="eastAsia" w:ascii="仿宋" w:hAnsi="仿宋" w:eastAsia="仿宋" w:cs="仿宋"/>
                <w:color w:val="auto"/>
                <w:spacing w:val="0"/>
                <w:w w:val="100"/>
                <w:position w:val="0"/>
                <w:sz w:val="24"/>
                <w:szCs w:val="24"/>
                <w:highlight w:val="none"/>
                <w:lang w:val="en-US" w:eastAsia="zh-CN"/>
              </w:rPr>
              <w:t>5</w:t>
            </w:r>
            <w:r>
              <w:rPr>
                <w:rFonts w:ascii="仿宋" w:hAnsi="仿宋" w:eastAsia="仿宋" w:cs="仿宋"/>
                <w:color w:val="auto"/>
                <w:spacing w:val="0"/>
                <w:w w:val="100"/>
                <w:position w:val="0"/>
                <w:sz w:val="24"/>
                <w:szCs w:val="24"/>
                <w:highlight w:val="none"/>
              </w:rPr>
              <w:t>年版）</w:t>
            </w:r>
          </w:p>
        </w:tc>
      </w:tr>
      <w:tr w14:paraId="12CD51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restart"/>
            <w:tcBorders>
              <w:bottom w:val="nil"/>
            </w:tcBorders>
            <w:textDirection w:val="tbRlV"/>
            <w:vAlign w:val="center"/>
          </w:tcPr>
          <w:p w14:paraId="509F424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相关规范</w:t>
            </w:r>
          </w:p>
        </w:tc>
        <w:tc>
          <w:tcPr>
            <w:tcW w:w="777" w:type="dxa"/>
            <w:vAlign w:val="center"/>
          </w:tcPr>
          <w:p w14:paraId="2C56BC0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w:t>
            </w:r>
          </w:p>
        </w:tc>
        <w:tc>
          <w:tcPr>
            <w:tcW w:w="7375" w:type="dxa"/>
            <w:vAlign w:val="center"/>
          </w:tcPr>
          <w:p w14:paraId="127DEFF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《饮用水水源保护区标志技术要求》</w:t>
            </w:r>
            <w:r>
              <w:rPr>
                <w:rFonts w:hint="eastAsia" w:ascii="仿宋" w:hAnsi="仿宋" w:eastAsia="仿宋" w:cs="仿宋"/>
                <w:color w:val="auto"/>
                <w:spacing w:val="0"/>
                <w:w w:val="100"/>
                <w:position w:val="0"/>
                <w:sz w:val="24"/>
                <w:szCs w:val="24"/>
                <w:highlight w:val="none"/>
                <w:lang w:eastAsia="zh-CN"/>
              </w:rPr>
              <w:t>（</w:t>
            </w:r>
            <w:r>
              <w:rPr>
                <w:rFonts w:ascii="仿宋" w:hAnsi="仿宋" w:eastAsia="仿宋" w:cs="仿宋"/>
                <w:color w:val="auto"/>
                <w:spacing w:val="0"/>
                <w:w w:val="100"/>
                <w:position w:val="0"/>
                <w:sz w:val="24"/>
                <w:szCs w:val="24"/>
                <w:highlight w:val="none"/>
              </w:rPr>
              <w:t>HJ/T433-2008</w:t>
            </w:r>
            <w:r>
              <w:rPr>
                <w:rFonts w:hint="eastAsia" w:ascii="仿宋" w:hAnsi="仿宋" w:eastAsia="仿宋" w:cs="仿宋"/>
                <w:color w:val="auto"/>
                <w:spacing w:val="0"/>
                <w:w w:val="100"/>
                <w:position w:val="0"/>
                <w:sz w:val="24"/>
                <w:szCs w:val="24"/>
                <w:highlight w:val="none"/>
                <w:lang w:eastAsia="zh-CN"/>
              </w:rPr>
              <w:t>）</w:t>
            </w:r>
          </w:p>
        </w:tc>
      </w:tr>
      <w:tr w14:paraId="4EC37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710" w:type="dxa"/>
            <w:vMerge w:val="continue"/>
            <w:tcBorders>
              <w:top w:val="nil"/>
              <w:bottom w:val="nil"/>
            </w:tcBorders>
            <w:textDirection w:val="tbRlV"/>
            <w:vAlign w:val="center"/>
          </w:tcPr>
          <w:p w14:paraId="1A32AA2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7B5C89D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7375" w:type="dxa"/>
            <w:vAlign w:val="center"/>
          </w:tcPr>
          <w:p w14:paraId="3EB86D7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《突发环境事件信息报告办法》（环境保护部令第17号）</w:t>
            </w:r>
          </w:p>
        </w:tc>
      </w:tr>
      <w:tr w14:paraId="107F8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tcBorders>
              <w:top w:val="nil"/>
              <w:bottom w:val="nil"/>
            </w:tcBorders>
            <w:textDirection w:val="tbRlV"/>
            <w:vAlign w:val="center"/>
          </w:tcPr>
          <w:p w14:paraId="6800728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15AFBA7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3</w:t>
            </w:r>
          </w:p>
        </w:tc>
        <w:tc>
          <w:tcPr>
            <w:tcW w:w="7375" w:type="dxa"/>
            <w:vAlign w:val="center"/>
          </w:tcPr>
          <w:p w14:paraId="7582A5C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《突发环境事件调查处理办法》（环境保护部令第32号）</w:t>
            </w:r>
          </w:p>
        </w:tc>
      </w:tr>
      <w:tr w14:paraId="47713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tcBorders>
              <w:top w:val="nil"/>
              <w:bottom w:val="nil"/>
            </w:tcBorders>
            <w:textDirection w:val="tbRlV"/>
            <w:vAlign w:val="center"/>
          </w:tcPr>
          <w:p w14:paraId="31F37DA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49177DF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4</w:t>
            </w:r>
          </w:p>
        </w:tc>
        <w:tc>
          <w:tcPr>
            <w:tcW w:w="7375" w:type="dxa"/>
            <w:vAlign w:val="center"/>
          </w:tcPr>
          <w:p w14:paraId="1CF3CBD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《突发环境事件应急管理办法》（环境保护部令第34号）</w:t>
            </w:r>
          </w:p>
        </w:tc>
      </w:tr>
      <w:tr w14:paraId="0EBDF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cBorders>
              <w:top w:val="nil"/>
              <w:bottom w:val="nil"/>
            </w:tcBorders>
            <w:textDirection w:val="tbRlV"/>
            <w:vAlign w:val="center"/>
          </w:tcPr>
          <w:p w14:paraId="1009D15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2D48DB8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5</w:t>
            </w:r>
          </w:p>
        </w:tc>
        <w:tc>
          <w:tcPr>
            <w:tcW w:w="7375" w:type="dxa"/>
            <w:vAlign w:val="center"/>
          </w:tcPr>
          <w:p w14:paraId="095ADBF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《畜禽养殖业污染防治技术规范》</w:t>
            </w:r>
            <w:r>
              <w:rPr>
                <w:rFonts w:hint="eastAsia" w:ascii="仿宋" w:hAnsi="仿宋" w:eastAsia="仿宋" w:cs="仿宋"/>
                <w:color w:val="auto"/>
                <w:spacing w:val="0"/>
                <w:w w:val="100"/>
                <w:position w:val="0"/>
                <w:sz w:val="24"/>
                <w:szCs w:val="24"/>
                <w:highlight w:val="none"/>
                <w:lang w:eastAsia="zh-CN"/>
              </w:rPr>
              <w:t>（</w:t>
            </w:r>
            <w:r>
              <w:rPr>
                <w:rFonts w:ascii="仿宋" w:hAnsi="仿宋" w:eastAsia="仿宋" w:cs="仿宋"/>
                <w:color w:val="auto"/>
                <w:spacing w:val="0"/>
                <w:w w:val="100"/>
                <w:position w:val="0"/>
                <w:sz w:val="24"/>
                <w:szCs w:val="24"/>
                <w:highlight w:val="none"/>
              </w:rPr>
              <w:t>HJ/T81-2001</w:t>
            </w:r>
            <w:r>
              <w:rPr>
                <w:rFonts w:hint="eastAsia" w:ascii="仿宋" w:hAnsi="仿宋" w:eastAsia="仿宋" w:cs="仿宋"/>
                <w:color w:val="auto"/>
                <w:spacing w:val="0"/>
                <w:w w:val="100"/>
                <w:position w:val="0"/>
                <w:sz w:val="24"/>
                <w:szCs w:val="24"/>
                <w:highlight w:val="none"/>
                <w:lang w:eastAsia="zh-CN"/>
              </w:rPr>
              <w:t>）</w:t>
            </w:r>
          </w:p>
        </w:tc>
      </w:tr>
      <w:tr w14:paraId="664AE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tcBorders>
              <w:top w:val="nil"/>
              <w:bottom w:val="nil"/>
            </w:tcBorders>
            <w:textDirection w:val="tbRlV"/>
            <w:vAlign w:val="center"/>
          </w:tcPr>
          <w:p w14:paraId="38C3732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4E8F1AB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6</w:t>
            </w:r>
          </w:p>
        </w:tc>
        <w:tc>
          <w:tcPr>
            <w:tcW w:w="7375" w:type="dxa"/>
            <w:vAlign w:val="center"/>
          </w:tcPr>
          <w:p w14:paraId="3C8B0DF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《建设项目环境风险评价技术导则》（</w:t>
            </w:r>
            <w:r>
              <w:rPr>
                <w:rFonts w:hint="eastAsia" w:ascii="仿宋" w:hAnsi="仿宋" w:eastAsia="仿宋" w:cs="仿宋"/>
                <w:color w:val="auto"/>
                <w:spacing w:val="0"/>
                <w:w w:val="100"/>
                <w:position w:val="0"/>
                <w:sz w:val="24"/>
                <w:szCs w:val="24"/>
                <w:highlight w:val="none"/>
                <w:lang w:eastAsia="zh-CN"/>
              </w:rPr>
              <w:t>HJ 169-2018</w:t>
            </w:r>
            <w:r>
              <w:rPr>
                <w:rFonts w:ascii="仿宋" w:hAnsi="仿宋" w:eastAsia="仿宋" w:cs="仿宋"/>
                <w:color w:val="auto"/>
                <w:spacing w:val="0"/>
                <w:w w:val="100"/>
                <w:position w:val="0"/>
                <w:sz w:val="24"/>
                <w:szCs w:val="24"/>
                <w:highlight w:val="none"/>
              </w:rPr>
              <w:t>）</w:t>
            </w:r>
          </w:p>
        </w:tc>
      </w:tr>
      <w:tr w14:paraId="50253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tcBorders>
              <w:top w:val="nil"/>
              <w:bottom w:val="nil"/>
            </w:tcBorders>
            <w:textDirection w:val="tbRlV"/>
            <w:vAlign w:val="center"/>
          </w:tcPr>
          <w:p w14:paraId="0A19343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0061C33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7</w:t>
            </w:r>
          </w:p>
        </w:tc>
        <w:tc>
          <w:tcPr>
            <w:tcW w:w="7375" w:type="dxa"/>
            <w:vAlign w:val="center"/>
          </w:tcPr>
          <w:p w14:paraId="43B7E36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《突发环境事件应急监测技术规范》</w:t>
            </w:r>
            <w:r>
              <w:rPr>
                <w:rFonts w:hint="eastAsia" w:ascii="仿宋" w:hAnsi="仿宋" w:eastAsia="仿宋" w:cs="仿宋"/>
                <w:color w:val="auto"/>
                <w:spacing w:val="0"/>
                <w:w w:val="100"/>
                <w:position w:val="0"/>
                <w:sz w:val="24"/>
                <w:szCs w:val="24"/>
                <w:highlight w:val="none"/>
                <w:lang w:eastAsia="zh-CN"/>
              </w:rPr>
              <w:t>（HJ 589-2021</w:t>
            </w:r>
            <w:r>
              <w:rPr>
                <w:rFonts w:ascii="仿宋" w:hAnsi="仿宋" w:eastAsia="仿宋" w:cs="仿宋"/>
                <w:color w:val="auto"/>
                <w:spacing w:val="0"/>
                <w:w w:val="100"/>
                <w:position w:val="0"/>
                <w:sz w:val="24"/>
                <w:szCs w:val="24"/>
                <w:highlight w:val="none"/>
              </w:rPr>
              <w:t>）</w:t>
            </w:r>
          </w:p>
        </w:tc>
      </w:tr>
      <w:tr w14:paraId="513D9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tcBorders>
              <w:top w:val="nil"/>
              <w:bottom w:val="nil"/>
            </w:tcBorders>
            <w:textDirection w:val="tbRlV"/>
            <w:vAlign w:val="center"/>
          </w:tcPr>
          <w:p w14:paraId="7D9C9D8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75F634A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8</w:t>
            </w:r>
          </w:p>
        </w:tc>
        <w:tc>
          <w:tcPr>
            <w:tcW w:w="7375" w:type="dxa"/>
            <w:vAlign w:val="center"/>
          </w:tcPr>
          <w:p w14:paraId="4CDE481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《企业突发环境事件风险分级方法》（HJ941-2018）</w:t>
            </w:r>
          </w:p>
        </w:tc>
      </w:tr>
      <w:tr w14:paraId="63C65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710" w:type="dxa"/>
            <w:vMerge w:val="continue"/>
            <w:tcBorders>
              <w:top w:val="nil"/>
              <w:bottom w:val="nil"/>
            </w:tcBorders>
            <w:textDirection w:val="tbRlV"/>
            <w:vAlign w:val="center"/>
          </w:tcPr>
          <w:p w14:paraId="4BC20FA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3D10094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9</w:t>
            </w:r>
          </w:p>
        </w:tc>
        <w:tc>
          <w:tcPr>
            <w:tcW w:w="7375" w:type="dxa"/>
            <w:vAlign w:val="center"/>
          </w:tcPr>
          <w:p w14:paraId="3A1BBE6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《企业突发环境事件风险评估指南（试行）》（环办</w:t>
            </w:r>
            <w:r>
              <w:rPr>
                <w:rFonts w:hint="eastAsia" w:ascii="仿宋" w:hAnsi="仿宋" w:eastAsia="仿宋" w:cs="仿宋"/>
                <w:color w:val="auto"/>
                <w:spacing w:val="0"/>
                <w:w w:val="100"/>
                <w:position w:val="0"/>
                <w:sz w:val="24"/>
                <w:szCs w:val="24"/>
                <w:highlight w:val="none"/>
                <w:lang w:eastAsia="zh-CN"/>
              </w:rPr>
              <w:t>〔2014〕34号</w:t>
            </w:r>
            <w:r>
              <w:rPr>
                <w:rFonts w:ascii="仿宋" w:hAnsi="仿宋" w:eastAsia="仿宋" w:cs="仿宋"/>
                <w:color w:val="auto"/>
                <w:spacing w:val="0"/>
                <w:w w:val="100"/>
                <w:position w:val="0"/>
                <w:sz w:val="24"/>
                <w:szCs w:val="24"/>
                <w:highlight w:val="none"/>
              </w:rPr>
              <w:t>）</w:t>
            </w:r>
          </w:p>
        </w:tc>
      </w:tr>
      <w:tr w14:paraId="46CD6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0" w:type="dxa"/>
            <w:vMerge w:val="continue"/>
            <w:tcBorders>
              <w:top w:val="nil"/>
              <w:bottom w:val="nil"/>
            </w:tcBorders>
            <w:textDirection w:val="tbRlV"/>
            <w:vAlign w:val="center"/>
          </w:tcPr>
          <w:p w14:paraId="361B4BA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6414D59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10</w:t>
            </w:r>
          </w:p>
        </w:tc>
        <w:tc>
          <w:tcPr>
            <w:tcW w:w="7375" w:type="dxa"/>
            <w:vAlign w:val="center"/>
          </w:tcPr>
          <w:p w14:paraId="2A51D37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《集中式饮用水水源环境保护指南（试行）》（环办</w:t>
            </w:r>
            <w:r>
              <w:rPr>
                <w:rFonts w:hint="eastAsia" w:ascii="仿宋" w:hAnsi="仿宋" w:eastAsia="仿宋" w:cs="仿宋"/>
                <w:color w:val="auto"/>
                <w:spacing w:val="0"/>
                <w:w w:val="100"/>
                <w:position w:val="0"/>
                <w:sz w:val="24"/>
                <w:szCs w:val="24"/>
                <w:highlight w:val="none"/>
                <w:lang w:eastAsia="zh-CN"/>
              </w:rPr>
              <w:t>〔2012〕50号</w:t>
            </w:r>
            <w:r>
              <w:rPr>
                <w:rFonts w:ascii="仿宋" w:hAnsi="仿宋" w:eastAsia="仿宋" w:cs="仿宋"/>
                <w:color w:val="auto"/>
                <w:spacing w:val="0"/>
                <w:w w:val="100"/>
                <w:position w:val="0"/>
                <w:sz w:val="24"/>
                <w:szCs w:val="24"/>
                <w:highlight w:val="none"/>
              </w:rPr>
              <w:t>）</w:t>
            </w:r>
          </w:p>
        </w:tc>
      </w:tr>
      <w:tr w14:paraId="6597F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10" w:type="dxa"/>
            <w:vMerge w:val="continue"/>
            <w:tcBorders>
              <w:top w:val="nil"/>
              <w:bottom w:val="nil"/>
            </w:tcBorders>
            <w:textDirection w:val="tbRlV"/>
            <w:vAlign w:val="center"/>
          </w:tcPr>
          <w:p w14:paraId="1019043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3145B74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11</w:t>
            </w:r>
          </w:p>
        </w:tc>
        <w:tc>
          <w:tcPr>
            <w:tcW w:w="7375" w:type="dxa"/>
            <w:vAlign w:val="center"/>
          </w:tcPr>
          <w:p w14:paraId="52C6AC30">
            <w:pPr>
              <w:keepNext w:val="0"/>
              <w:keepLines w:val="0"/>
              <w:pageBreakBefore w:val="0"/>
              <w:widowControl/>
              <w:kinsoku/>
              <w:wordWrap/>
              <w:overflowPunct/>
              <w:topLinePunct w:val="0"/>
              <w:autoSpaceDE w:val="0"/>
              <w:autoSpaceDN w:val="0"/>
              <w:bidi w:val="0"/>
              <w:adjustRightInd w:val="0"/>
              <w:snapToGrid w:val="0"/>
              <w:spacing w:line="240" w:lineRule="auto"/>
              <w:ind w:left="0" w:right="184" w:hanging="11"/>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《集中式地表饮用水水源地环境应急管理工作指南》（环办</w:t>
            </w:r>
            <w:r>
              <w:rPr>
                <w:rFonts w:hint="eastAsia" w:ascii="仿宋" w:hAnsi="仿宋" w:eastAsia="仿宋" w:cs="仿宋"/>
                <w:color w:val="auto"/>
                <w:spacing w:val="0"/>
                <w:w w:val="100"/>
                <w:position w:val="0"/>
                <w:sz w:val="24"/>
                <w:szCs w:val="24"/>
                <w:highlight w:val="none"/>
                <w:lang w:eastAsia="zh-CN"/>
              </w:rPr>
              <w:t>〔2011〕93号</w:t>
            </w:r>
            <w:r>
              <w:rPr>
                <w:rFonts w:ascii="仿宋" w:hAnsi="仿宋" w:eastAsia="仿宋" w:cs="仿宋"/>
                <w:color w:val="auto"/>
                <w:spacing w:val="0"/>
                <w:w w:val="100"/>
                <w:position w:val="0"/>
                <w:sz w:val="24"/>
                <w:szCs w:val="24"/>
                <w:highlight w:val="none"/>
              </w:rPr>
              <w:t>）</w:t>
            </w:r>
          </w:p>
        </w:tc>
      </w:tr>
      <w:tr w14:paraId="1BB61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10" w:type="dxa"/>
            <w:vMerge w:val="continue"/>
            <w:tcBorders>
              <w:top w:val="nil"/>
              <w:bottom w:val="nil"/>
            </w:tcBorders>
            <w:textDirection w:val="tbRlV"/>
            <w:vAlign w:val="center"/>
          </w:tcPr>
          <w:p w14:paraId="625519C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556D064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12</w:t>
            </w:r>
          </w:p>
        </w:tc>
        <w:tc>
          <w:tcPr>
            <w:tcW w:w="7375" w:type="dxa"/>
            <w:vAlign w:val="center"/>
          </w:tcPr>
          <w:p w14:paraId="61AC97D3">
            <w:pPr>
              <w:keepNext w:val="0"/>
              <w:keepLines w:val="0"/>
              <w:pageBreakBefore w:val="0"/>
              <w:widowControl/>
              <w:kinsoku/>
              <w:wordWrap/>
              <w:overflowPunct/>
              <w:topLinePunct w:val="0"/>
              <w:autoSpaceDE w:val="0"/>
              <w:autoSpaceDN w:val="0"/>
              <w:bidi w:val="0"/>
              <w:adjustRightInd w:val="0"/>
              <w:snapToGrid w:val="0"/>
              <w:spacing w:line="240" w:lineRule="auto"/>
              <w:ind w:left="0" w:right="322" w:hanging="7"/>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《集中式地表水饮用水水源地突发环境事件应急预案编制指南（试行）》（生态环境部2018年第1号公告）</w:t>
            </w:r>
          </w:p>
        </w:tc>
      </w:tr>
      <w:tr w14:paraId="6A5D2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10" w:type="dxa"/>
            <w:vMerge w:val="continue"/>
            <w:tcBorders>
              <w:top w:val="nil"/>
              <w:bottom w:val="nil"/>
            </w:tcBorders>
            <w:textDirection w:val="tbRlV"/>
            <w:vAlign w:val="center"/>
          </w:tcPr>
          <w:p w14:paraId="7EBB45E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1EAA0F4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13</w:t>
            </w:r>
          </w:p>
        </w:tc>
        <w:tc>
          <w:tcPr>
            <w:tcW w:w="7375" w:type="dxa"/>
            <w:vAlign w:val="center"/>
          </w:tcPr>
          <w:p w14:paraId="77173519">
            <w:pPr>
              <w:keepNext w:val="0"/>
              <w:keepLines w:val="0"/>
              <w:pageBreakBefore w:val="0"/>
              <w:widowControl/>
              <w:kinsoku/>
              <w:wordWrap/>
              <w:overflowPunct/>
              <w:topLinePunct w:val="0"/>
              <w:autoSpaceDE w:val="0"/>
              <w:autoSpaceDN w:val="0"/>
              <w:bidi w:val="0"/>
              <w:adjustRightInd w:val="0"/>
              <w:snapToGrid w:val="0"/>
              <w:spacing w:line="240" w:lineRule="auto"/>
              <w:ind w:left="0" w:right="795" w:hanging="5"/>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《国务院办公厅关于印发突发事件应急预案管理办法的通知》（国办发</w:t>
            </w:r>
            <w:r>
              <w:rPr>
                <w:rFonts w:hint="eastAsia" w:ascii="仿宋" w:hAnsi="仿宋" w:eastAsia="仿宋" w:cs="仿宋"/>
                <w:color w:val="auto"/>
                <w:spacing w:val="0"/>
                <w:w w:val="100"/>
                <w:position w:val="0"/>
                <w:sz w:val="24"/>
                <w:szCs w:val="24"/>
                <w:highlight w:val="none"/>
                <w:lang w:eastAsia="zh-CN"/>
              </w:rPr>
              <w:t>〔2013〕101号</w:t>
            </w:r>
            <w:r>
              <w:rPr>
                <w:rFonts w:ascii="仿宋" w:hAnsi="仿宋" w:eastAsia="仿宋" w:cs="仿宋"/>
                <w:color w:val="auto"/>
                <w:spacing w:val="0"/>
                <w:w w:val="100"/>
                <w:position w:val="0"/>
                <w:sz w:val="24"/>
                <w:szCs w:val="24"/>
                <w:highlight w:val="none"/>
              </w:rPr>
              <w:t>）</w:t>
            </w:r>
          </w:p>
        </w:tc>
      </w:tr>
      <w:tr w14:paraId="48C5F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10" w:type="dxa"/>
            <w:vMerge w:val="continue"/>
            <w:tcBorders>
              <w:top w:val="nil"/>
              <w:bottom w:val="nil"/>
            </w:tcBorders>
            <w:textDirection w:val="tbRlV"/>
            <w:vAlign w:val="center"/>
          </w:tcPr>
          <w:p w14:paraId="6EAD891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3E4D7B8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14</w:t>
            </w:r>
          </w:p>
        </w:tc>
        <w:tc>
          <w:tcPr>
            <w:tcW w:w="7375" w:type="dxa"/>
            <w:vAlign w:val="center"/>
          </w:tcPr>
          <w:p w14:paraId="68781677">
            <w:pPr>
              <w:keepNext w:val="0"/>
              <w:keepLines w:val="0"/>
              <w:pageBreakBefore w:val="0"/>
              <w:widowControl/>
              <w:kinsoku/>
              <w:wordWrap/>
              <w:overflowPunct/>
              <w:topLinePunct w:val="0"/>
              <w:autoSpaceDE w:val="0"/>
              <w:autoSpaceDN w:val="0"/>
              <w:bidi w:val="0"/>
              <w:adjustRightInd w:val="0"/>
              <w:snapToGrid w:val="0"/>
              <w:spacing w:line="240" w:lineRule="auto"/>
              <w:ind w:left="0" w:right="1035" w:hanging="5"/>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《关于进一步加强环境影响评价管理防范环境风险的通知》（环发</w:t>
            </w:r>
            <w:r>
              <w:rPr>
                <w:rFonts w:hint="eastAsia" w:ascii="仿宋" w:hAnsi="仿宋" w:eastAsia="仿宋" w:cs="仿宋"/>
                <w:color w:val="auto"/>
                <w:spacing w:val="0"/>
                <w:w w:val="100"/>
                <w:position w:val="0"/>
                <w:sz w:val="24"/>
                <w:szCs w:val="24"/>
                <w:highlight w:val="none"/>
                <w:lang w:eastAsia="zh-CN"/>
              </w:rPr>
              <w:t>〔2012〕77号</w:t>
            </w:r>
            <w:r>
              <w:rPr>
                <w:rFonts w:ascii="仿宋" w:hAnsi="仿宋" w:eastAsia="仿宋" w:cs="仿宋"/>
                <w:color w:val="auto"/>
                <w:spacing w:val="0"/>
                <w:w w:val="100"/>
                <w:position w:val="0"/>
                <w:sz w:val="24"/>
                <w:szCs w:val="24"/>
                <w:highlight w:val="none"/>
              </w:rPr>
              <w:t>）</w:t>
            </w:r>
          </w:p>
        </w:tc>
      </w:tr>
      <w:tr w14:paraId="3DD49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10" w:type="dxa"/>
            <w:vMerge w:val="continue"/>
            <w:tcBorders>
              <w:top w:val="nil"/>
              <w:bottom w:val="nil"/>
            </w:tcBorders>
            <w:textDirection w:val="tbRlV"/>
            <w:vAlign w:val="center"/>
          </w:tcPr>
          <w:p w14:paraId="4A1CA91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0A4525E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15</w:t>
            </w:r>
          </w:p>
        </w:tc>
        <w:tc>
          <w:tcPr>
            <w:tcW w:w="7375" w:type="dxa"/>
            <w:vAlign w:val="center"/>
          </w:tcPr>
          <w:p w14:paraId="77349503">
            <w:pPr>
              <w:keepNext w:val="0"/>
              <w:keepLines w:val="0"/>
              <w:pageBreakBefore w:val="0"/>
              <w:widowControl/>
              <w:kinsoku/>
              <w:wordWrap/>
              <w:overflowPunct/>
              <w:topLinePunct w:val="0"/>
              <w:autoSpaceDE w:val="0"/>
              <w:autoSpaceDN w:val="0"/>
              <w:bidi w:val="0"/>
              <w:adjustRightInd w:val="0"/>
              <w:snapToGrid w:val="0"/>
              <w:spacing w:line="240" w:lineRule="auto"/>
              <w:ind w:left="0" w:right="795" w:hanging="5"/>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《国务院办公厅关于印发国家突发环境事件应急预案的通知》（国办函</w:t>
            </w:r>
            <w:r>
              <w:rPr>
                <w:rFonts w:hint="eastAsia" w:ascii="仿宋" w:hAnsi="仿宋" w:eastAsia="仿宋" w:cs="仿宋"/>
                <w:color w:val="auto"/>
                <w:spacing w:val="0"/>
                <w:w w:val="100"/>
                <w:position w:val="0"/>
                <w:sz w:val="24"/>
                <w:szCs w:val="24"/>
                <w:highlight w:val="none"/>
                <w:lang w:eastAsia="zh-CN"/>
              </w:rPr>
              <w:t>〔2014〕119号</w:t>
            </w:r>
            <w:r>
              <w:rPr>
                <w:rFonts w:ascii="仿宋" w:hAnsi="仿宋" w:eastAsia="仿宋" w:cs="仿宋"/>
                <w:color w:val="auto"/>
                <w:spacing w:val="0"/>
                <w:w w:val="100"/>
                <w:position w:val="0"/>
                <w:sz w:val="24"/>
                <w:szCs w:val="24"/>
                <w:highlight w:val="none"/>
              </w:rPr>
              <w:t>）</w:t>
            </w:r>
          </w:p>
        </w:tc>
      </w:tr>
      <w:tr w14:paraId="4A6D5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10" w:type="dxa"/>
            <w:vMerge w:val="continue"/>
            <w:tcBorders>
              <w:top w:val="nil"/>
              <w:bottom w:val="nil"/>
            </w:tcBorders>
            <w:textDirection w:val="tbRlV"/>
            <w:vAlign w:val="center"/>
          </w:tcPr>
          <w:p w14:paraId="569928D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44A46C7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16</w:t>
            </w:r>
          </w:p>
        </w:tc>
        <w:tc>
          <w:tcPr>
            <w:tcW w:w="7375" w:type="dxa"/>
            <w:vAlign w:val="center"/>
          </w:tcPr>
          <w:p w14:paraId="0369267D">
            <w:pPr>
              <w:keepNext w:val="0"/>
              <w:keepLines w:val="0"/>
              <w:pageBreakBefore w:val="0"/>
              <w:widowControl/>
              <w:kinsoku/>
              <w:wordWrap/>
              <w:overflowPunct/>
              <w:topLinePunct w:val="0"/>
              <w:autoSpaceDE w:val="0"/>
              <w:autoSpaceDN w:val="0"/>
              <w:bidi w:val="0"/>
              <w:adjustRightInd w:val="0"/>
              <w:snapToGrid w:val="0"/>
              <w:spacing w:line="240" w:lineRule="auto"/>
              <w:ind w:left="0" w:right="321" w:hanging="19"/>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《黑龙江省人民政府关于印发黑龙江省突发事件应急预案管理办法的通知》</w:t>
            </w:r>
            <w:r>
              <w:rPr>
                <w:rFonts w:hint="eastAsia" w:ascii="仿宋" w:hAnsi="仿宋" w:eastAsia="仿宋" w:cs="仿宋"/>
                <w:color w:val="auto"/>
                <w:spacing w:val="0"/>
                <w:w w:val="100"/>
                <w:position w:val="0"/>
                <w:sz w:val="24"/>
                <w:szCs w:val="24"/>
                <w:highlight w:val="none"/>
                <w:lang w:eastAsia="zh-CN"/>
              </w:rPr>
              <w:t>（</w:t>
            </w:r>
            <w:r>
              <w:rPr>
                <w:rFonts w:ascii="仿宋" w:hAnsi="仿宋" w:eastAsia="仿宋" w:cs="仿宋"/>
                <w:color w:val="auto"/>
                <w:spacing w:val="0"/>
                <w:w w:val="100"/>
                <w:position w:val="0"/>
                <w:sz w:val="24"/>
                <w:szCs w:val="24"/>
                <w:highlight w:val="none"/>
              </w:rPr>
              <w:t>黑政规</w:t>
            </w:r>
            <w:r>
              <w:rPr>
                <w:rFonts w:hint="eastAsia" w:ascii="仿宋" w:hAnsi="仿宋" w:eastAsia="仿宋" w:cs="仿宋"/>
                <w:color w:val="auto"/>
                <w:spacing w:val="0"/>
                <w:w w:val="100"/>
                <w:position w:val="0"/>
                <w:sz w:val="24"/>
                <w:szCs w:val="24"/>
                <w:highlight w:val="none"/>
                <w:lang w:eastAsia="zh-CN"/>
              </w:rPr>
              <w:t>〔2018〕2号）</w:t>
            </w:r>
          </w:p>
        </w:tc>
      </w:tr>
      <w:tr w14:paraId="36E1A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10" w:type="dxa"/>
            <w:vMerge w:val="continue"/>
            <w:tcBorders>
              <w:top w:val="nil"/>
            </w:tcBorders>
            <w:textDirection w:val="tbRlV"/>
            <w:vAlign w:val="center"/>
          </w:tcPr>
          <w:p w14:paraId="2969BF4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64CB12D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17</w:t>
            </w:r>
          </w:p>
        </w:tc>
        <w:tc>
          <w:tcPr>
            <w:tcW w:w="7375" w:type="dxa"/>
            <w:vAlign w:val="center"/>
          </w:tcPr>
          <w:p w14:paraId="502C9866">
            <w:pPr>
              <w:keepNext w:val="0"/>
              <w:keepLines w:val="0"/>
              <w:pageBreakBefore w:val="0"/>
              <w:widowControl/>
              <w:kinsoku/>
              <w:wordWrap/>
              <w:overflowPunct/>
              <w:topLinePunct w:val="0"/>
              <w:autoSpaceDE w:val="0"/>
              <w:autoSpaceDN w:val="0"/>
              <w:bidi w:val="0"/>
              <w:adjustRightInd w:val="0"/>
              <w:snapToGrid w:val="0"/>
              <w:spacing w:line="240" w:lineRule="auto"/>
              <w:ind w:left="0" w:right="563" w:hanging="8"/>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《黑龙江省人民政府关于城市主要生活饮用水地表水源保护区规划》黑政函</w:t>
            </w:r>
            <w:r>
              <w:rPr>
                <w:rFonts w:hint="eastAsia" w:ascii="仿宋" w:hAnsi="仿宋" w:eastAsia="仿宋" w:cs="仿宋"/>
                <w:color w:val="auto"/>
                <w:spacing w:val="0"/>
                <w:w w:val="100"/>
                <w:position w:val="0"/>
                <w:sz w:val="24"/>
                <w:szCs w:val="24"/>
                <w:highlight w:val="none"/>
                <w:lang w:eastAsia="zh-CN"/>
              </w:rPr>
              <w:t>〔2005〕86号</w:t>
            </w:r>
          </w:p>
        </w:tc>
      </w:tr>
      <w:tr w14:paraId="6D025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10" w:type="dxa"/>
            <w:vMerge w:val="restart"/>
            <w:tcBorders>
              <w:bottom w:val="nil"/>
            </w:tcBorders>
            <w:vAlign w:val="center"/>
          </w:tcPr>
          <w:p w14:paraId="3CC6B74A">
            <w:pPr>
              <w:keepNext w:val="0"/>
              <w:keepLines w:val="0"/>
              <w:pageBreakBefore w:val="0"/>
              <w:widowControl/>
              <w:kinsoku/>
              <w:wordWrap/>
              <w:overflowPunct/>
              <w:topLinePunct w:val="0"/>
              <w:autoSpaceDE w:val="0"/>
              <w:autoSpaceDN w:val="0"/>
              <w:bidi w:val="0"/>
              <w:adjustRightInd w:val="0"/>
              <w:snapToGrid w:val="0"/>
              <w:spacing w:line="240" w:lineRule="auto"/>
              <w:ind w:left="0" w:right="112" w:hanging="11"/>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技术资料</w:t>
            </w:r>
          </w:p>
        </w:tc>
        <w:tc>
          <w:tcPr>
            <w:tcW w:w="777" w:type="dxa"/>
            <w:vAlign w:val="center"/>
          </w:tcPr>
          <w:p w14:paraId="61F9ACD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w:t>
            </w:r>
          </w:p>
        </w:tc>
        <w:tc>
          <w:tcPr>
            <w:tcW w:w="7375" w:type="dxa"/>
            <w:vAlign w:val="center"/>
          </w:tcPr>
          <w:p w14:paraId="3C77FD6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《乌翠区西山水库饮用水水源保护区划分技术报告》2010.4</w:t>
            </w:r>
          </w:p>
        </w:tc>
      </w:tr>
      <w:tr w14:paraId="47EA2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710" w:type="dxa"/>
            <w:vMerge w:val="continue"/>
            <w:tcBorders>
              <w:top w:val="nil"/>
              <w:bottom w:val="nil"/>
            </w:tcBorders>
            <w:vAlign w:val="center"/>
          </w:tcPr>
          <w:p w14:paraId="401BD75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48F401F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7375" w:type="dxa"/>
            <w:vAlign w:val="center"/>
          </w:tcPr>
          <w:p w14:paraId="5824812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乌翠区饮用水源保护区划分图</w:t>
            </w:r>
          </w:p>
        </w:tc>
      </w:tr>
      <w:tr w14:paraId="299D1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710" w:type="dxa"/>
            <w:vMerge w:val="continue"/>
            <w:tcBorders>
              <w:top w:val="nil"/>
            </w:tcBorders>
            <w:vAlign w:val="center"/>
          </w:tcPr>
          <w:p w14:paraId="60F1541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777" w:type="dxa"/>
            <w:vAlign w:val="center"/>
          </w:tcPr>
          <w:p w14:paraId="7E6A9D7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3</w:t>
            </w:r>
          </w:p>
        </w:tc>
        <w:tc>
          <w:tcPr>
            <w:tcW w:w="7375" w:type="dxa"/>
            <w:vAlign w:val="center"/>
          </w:tcPr>
          <w:p w14:paraId="2B7831A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其他技术资料</w:t>
            </w:r>
          </w:p>
        </w:tc>
      </w:tr>
    </w:tbl>
    <w:p w14:paraId="77B2D33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ascii="仿宋" w:hAnsi="仿宋" w:eastAsia="仿宋" w:cs="仿宋"/>
          <w:color w:val="auto"/>
          <w:spacing w:val="0"/>
          <w:w w:val="100"/>
          <w:position w:val="0"/>
          <w:sz w:val="31"/>
          <w:szCs w:val="31"/>
          <w:highlight w:val="none"/>
        </w:rPr>
      </w:pPr>
      <w:bookmarkStart w:id="340" w:name="bookmark100"/>
      <w:bookmarkEnd w:id="340"/>
      <w:bookmarkStart w:id="341" w:name="_Toc2563"/>
      <w:bookmarkStart w:id="342" w:name="_Toc24169"/>
      <w:bookmarkStart w:id="343" w:name="_Toc23068"/>
      <w:bookmarkStart w:id="344" w:name="_Toc14136"/>
      <w:bookmarkStart w:id="345" w:name="_Toc29948"/>
      <w:bookmarkStart w:id="346" w:name="_Toc787"/>
      <w:r>
        <w:rPr>
          <w:rFonts w:ascii="仿宋" w:hAnsi="仿宋" w:eastAsia="仿宋" w:cs="仿宋"/>
          <w:b/>
          <w:bCs/>
          <w:color w:val="auto"/>
          <w:spacing w:val="0"/>
          <w:w w:val="100"/>
          <w:position w:val="0"/>
          <w:sz w:val="31"/>
          <w:szCs w:val="31"/>
          <w:highlight w:val="none"/>
        </w:rPr>
        <w:t>2.3评估范围</w:t>
      </w:r>
      <w:bookmarkEnd w:id="341"/>
      <w:bookmarkEnd w:id="342"/>
      <w:bookmarkEnd w:id="343"/>
      <w:bookmarkEnd w:id="344"/>
      <w:bookmarkEnd w:id="345"/>
      <w:bookmarkEnd w:id="346"/>
    </w:p>
    <w:p w14:paraId="2CDAD1A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1"/>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针对乌翠区西山水库饮用水水源保护区</w:t>
      </w:r>
      <w:r>
        <w:rPr>
          <w:rFonts w:hint="eastAsia" w:ascii="仿宋" w:hAnsi="仿宋" w:eastAsia="仿宋" w:cs="仿宋"/>
          <w:color w:val="auto"/>
          <w:spacing w:val="0"/>
          <w:w w:val="100"/>
          <w:position w:val="0"/>
          <w:sz w:val="28"/>
          <w:szCs w:val="28"/>
          <w:highlight w:val="none"/>
          <w:lang w:val="en-US" w:eastAsia="zh-CN"/>
        </w:rPr>
        <w:t>评价</w:t>
      </w:r>
      <w:r>
        <w:rPr>
          <w:rFonts w:ascii="仿宋" w:hAnsi="仿宋" w:eastAsia="仿宋" w:cs="仿宋"/>
          <w:color w:val="auto"/>
          <w:spacing w:val="0"/>
          <w:w w:val="100"/>
          <w:position w:val="0"/>
          <w:sz w:val="28"/>
          <w:szCs w:val="28"/>
          <w:highlight w:val="none"/>
        </w:rPr>
        <w:t>范围</w:t>
      </w:r>
      <w:r>
        <w:rPr>
          <w:rFonts w:hint="eastAsia" w:ascii="仿宋" w:hAnsi="仿宋" w:eastAsia="仿宋" w:cs="仿宋"/>
          <w:color w:val="auto"/>
          <w:spacing w:val="0"/>
          <w:w w:val="100"/>
          <w:position w:val="0"/>
          <w:sz w:val="28"/>
          <w:szCs w:val="28"/>
          <w:highlight w:val="none"/>
          <w:lang w:eastAsia="zh-CN"/>
        </w:rPr>
        <w:t>内</w:t>
      </w:r>
      <w:r>
        <w:rPr>
          <w:rFonts w:ascii="仿宋" w:hAnsi="仿宋" w:eastAsia="仿宋" w:cs="仿宋"/>
          <w:color w:val="auto"/>
          <w:spacing w:val="0"/>
          <w:w w:val="100"/>
          <w:position w:val="0"/>
          <w:sz w:val="28"/>
          <w:szCs w:val="28"/>
          <w:highlight w:val="none"/>
        </w:rPr>
        <w:t>可能发生的突发环境事件的风险等级进行评估。</w:t>
      </w:r>
    </w:p>
    <w:p w14:paraId="329A94C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13"/>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（1）由于安全事故、设施设备事故和违法排污等，导致水源地风险物质</w:t>
      </w:r>
      <w:r>
        <w:rPr>
          <w:rFonts w:hint="eastAsia" w:ascii="仿宋" w:hAnsi="仿宋" w:eastAsia="仿宋" w:cs="仿宋"/>
          <w:color w:val="auto"/>
          <w:spacing w:val="0"/>
          <w:w w:val="100"/>
          <w:position w:val="0"/>
          <w:sz w:val="28"/>
          <w:szCs w:val="28"/>
          <w:highlight w:val="none"/>
          <w:lang w:eastAsia="zh-CN"/>
        </w:rPr>
        <w:t>直接</w:t>
      </w:r>
      <w:r>
        <w:rPr>
          <w:rFonts w:ascii="仿宋" w:hAnsi="仿宋" w:eastAsia="仿宋" w:cs="仿宋"/>
          <w:color w:val="auto"/>
          <w:spacing w:val="0"/>
          <w:w w:val="100"/>
          <w:position w:val="0"/>
          <w:sz w:val="28"/>
          <w:szCs w:val="28"/>
          <w:highlight w:val="none"/>
        </w:rPr>
        <w:t>排入水源保护区，造成的固定源水污染事件；</w:t>
      </w:r>
    </w:p>
    <w:p w14:paraId="5C5FE20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19"/>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（2）由于交通事故、设备故障等，导致油品、化学品或其他有毒有害物质进入水源保护区，造成的流动源水污染事件；</w:t>
      </w:r>
    </w:p>
    <w:p w14:paraId="3370E2C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19"/>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（3）由于水源地周围畜禽放牧</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大豆、玉米</w:t>
      </w:r>
      <w:r>
        <w:rPr>
          <w:rFonts w:ascii="仿宋" w:hAnsi="仿宋" w:eastAsia="仿宋" w:cs="仿宋"/>
          <w:color w:val="auto"/>
          <w:spacing w:val="0"/>
          <w:w w:val="100"/>
          <w:position w:val="0"/>
          <w:sz w:val="28"/>
          <w:szCs w:val="28"/>
          <w:highlight w:val="none"/>
        </w:rPr>
        <w:t>等作物农田种植，水源地附近居民点滴瓶等生活垃圾，导致大量细菌、农药、化肥、固废等污染物进入水源保护区，造成的非点源水污染事件；</w:t>
      </w:r>
    </w:p>
    <w:p w14:paraId="76DFFF5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1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（4）由于水源地上游流域水污染，水源地周围植物净化拦截带面积小等</w:t>
      </w:r>
      <w:r>
        <w:rPr>
          <w:rFonts w:hint="eastAsia" w:ascii="仿宋" w:hAnsi="仿宋" w:eastAsia="仿宋" w:cs="仿宋"/>
          <w:color w:val="auto"/>
          <w:spacing w:val="0"/>
          <w:w w:val="100"/>
          <w:position w:val="0"/>
          <w:sz w:val="28"/>
          <w:szCs w:val="28"/>
          <w:highlight w:val="none"/>
          <w:lang w:eastAsia="zh-CN"/>
        </w:rPr>
        <w:t>其他</w:t>
      </w:r>
      <w:r>
        <w:rPr>
          <w:rFonts w:ascii="仿宋" w:hAnsi="仿宋" w:eastAsia="仿宋" w:cs="仿宋"/>
          <w:color w:val="auto"/>
          <w:spacing w:val="0"/>
          <w:w w:val="100"/>
          <w:position w:val="0"/>
          <w:sz w:val="28"/>
          <w:szCs w:val="28"/>
          <w:highlight w:val="none"/>
        </w:rPr>
        <w:t>意外事件，造成水源保护区水污染事故。</w:t>
      </w:r>
    </w:p>
    <w:p w14:paraId="25E84BE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ascii="仿宋" w:hAnsi="仿宋" w:eastAsia="仿宋" w:cs="仿宋"/>
          <w:color w:val="auto"/>
          <w:spacing w:val="0"/>
          <w:w w:val="100"/>
          <w:position w:val="0"/>
          <w:sz w:val="31"/>
          <w:szCs w:val="31"/>
          <w:highlight w:val="none"/>
        </w:rPr>
      </w:pPr>
      <w:bookmarkStart w:id="347" w:name="bookmark101"/>
      <w:bookmarkEnd w:id="347"/>
      <w:bookmarkStart w:id="348" w:name="_Toc28906"/>
      <w:bookmarkStart w:id="349" w:name="_Toc22583"/>
      <w:bookmarkStart w:id="350" w:name="_Toc2463"/>
      <w:bookmarkStart w:id="351" w:name="_Toc24567"/>
      <w:bookmarkStart w:id="352" w:name="_Toc3404"/>
      <w:bookmarkStart w:id="353" w:name="_Toc406"/>
      <w:r>
        <w:rPr>
          <w:rFonts w:ascii="仿宋" w:hAnsi="仿宋" w:eastAsia="仿宋" w:cs="仿宋"/>
          <w:b/>
          <w:bCs/>
          <w:color w:val="auto"/>
          <w:spacing w:val="0"/>
          <w:w w:val="100"/>
          <w:position w:val="0"/>
          <w:sz w:val="31"/>
          <w:szCs w:val="31"/>
          <w:highlight w:val="none"/>
        </w:rPr>
        <w:t>2.4评估技术方法及路线</w:t>
      </w:r>
      <w:bookmarkEnd w:id="348"/>
      <w:bookmarkEnd w:id="349"/>
      <w:bookmarkEnd w:id="350"/>
      <w:bookmarkEnd w:id="351"/>
      <w:bookmarkEnd w:id="352"/>
      <w:bookmarkEnd w:id="353"/>
    </w:p>
    <w:p w14:paraId="4F553B8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9"/>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针对饮用水水源地，国家没有颁发正式的风险评估指南，本次评估中水源地固定源、移动源、非点源等环境风险评估参考《集中式饮用水水源环境保护指南（试行）》进行评估，同时结合《行政区域突发环境事件风险评估推荐方法》进行评估，评估路线见下图。</w:t>
      </w:r>
    </w:p>
    <w:p w14:paraId="7CCDA851">
      <w:pPr>
        <w:keepNext w:val="0"/>
        <w:keepLines w:val="0"/>
        <w:pageBreakBefore w:val="0"/>
        <w:widowControl/>
        <w:kinsoku/>
        <w:wordWrap/>
        <w:overflowPunct/>
        <w:topLinePunct w:val="0"/>
        <w:autoSpaceDE w:val="0"/>
        <w:autoSpaceDN w:val="0"/>
        <w:bidi w:val="0"/>
        <w:adjustRightInd w:val="0"/>
        <w:snapToGrid w:val="0"/>
        <w:spacing w:line="11921" w:lineRule="exact"/>
        <w:ind w:firstLine="1910"/>
        <w:rPr>
          <w:color w:val="auto"/>
          <w:spacing w:val="0"/>
          <w:w w:val="100"/>
          <w:position w:val="0"/>
          <w:highlight w:val="none"/>
        </w:rPr>
      </w:pPr>
      <w:r>
        <w:rPr>
          <w:color w:val="auto"/>
          <w:spacing w:val="0"/>
          <w:w w:val="100"/>
          <w:position w:val="0"/>
          <w:highlight w:val="none"/>
        </w:rPr>
        <w:drawing>
          <wp:anchor distT="0" distB="0" distL="0" distR="0" simplePos="0" relativeHeight="251661312" behindDoc="0" locked="0" layoutInCell="1" allowOverlap="1">
            <wp:simplePos x="0" y="0"/>
            <wp:positionH relativeFrom="column">
              <wp:posOffset>1157605</wp:posOffset>
            </wp:positionH>
            <wp:positionV relativeFrom="paragraph">
              <wp:posOffset>-69215</wp:posOffset>
            </wp:positionV>
            <wp:extent cx="2867660" cy="7569835"/>
            <wp:effectExtent l="0" t="0" r="8890" b="12065"/>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9"/>
                    <a:stretch>
                      <a:fillRect/>
                    </a:stretch>
                  </pic:blipFill>
                  <pic:spPr>
                    <a:xfrm>
                      <a:off x="0" y="0"/>
                      <a:ext cx="2867660" cy="7570469"/>
                    </a:xfrm>
                    <a:prstGeom prst="rect">
                      <a:avLst/>
                    </a:prstGeom>
                  </pic:spPr>
                </pic:pic>
              </a:graphicData>
            </a:graphic>
          </wp:anchor>
        </w:drawing>
      </w:r>
    </w:p>
    <w:p w14:paraId="73B70B94">
      <w:pPr>
        <w:keepNext w:val="0"/>
        <w:keepLines w:val="0"/>
        <w:pageBreakBefore w:val="0"/>
        <w:widowControl/>
        <w:kinsoku/>
        <w:wordWrap/>
        <w:overflowPunct/>
        <w:topLinePunct w:val="0"/>
        <w:autoSpaceDE w:val="0"/>
        <w:autoSpaceDN w:val="0"/>
        <w:bidi w:val="0"/>
        <w:adjustRightInd w:val="0"/>
        <w:snapToGrid w:val="0"/>
        <w:spacing w:before="311" w:line="216" w:lineRule="auto"/>
        <w:ind w:left="893"/>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图2-1</w:t>
      </w:r>
      <w:r>
        <w:rPr>
          <w:rFonts w:hint="eastAsia" w:ascii="仿宋" w:hAnsi="仿宋" w:eastAsia="仿宋" w:cs="仿宋"/>
          <w:b/>
          <w:bCs/>
          <w:color w:val="auto"/>
          <w:spacing w:val="0"/>
          <w:w w:val="100"/>
          <w:position w:val="0"/>
          <w:sz w:val="24"/>
          <w:szCs w:val="24"/>
          <w:highlight w:val="none"/>
          <w:lang w:val="en-US" w:eastAsia="zh-CN"/>
        </w:rPr>
        <w:t xml:space="preserve"> </w:t>
      </w:r>
      <w:r>
        <w:rPr>
          <w:rFonts w:ascii="仿宋" w:hAnsi="仿宋" w:eastAsia="仿宋" w:cs="仿宋"/>
          <w:b/>
          <w:bCs/>
          <w:color w:val="auto"/>
          <w:spacing w:val="0"/>
          <w:w w:val="100"/>
          <w:position w:val="0"/>
          <w:sz w:val="24"/>
          <w:szCs w:val="24"/>
          <w:highlight w:val="none"/>
        </w:rPr>
        <w:t>乌翠区西山水库饮用水源地突发环境事件风险评估路线</w:t>
      </w:r>
    </w:p>
    <w:p w14:paraId="08DA4FD1">
      <w:pPr>
        <w:keepNext w:val="0"/>
        <w:keepLines w:val="0"/>
        <w:pageBreakBefore w:val="0"/>
        <w:widowControl/>
        <w:kinsoku/>
        <w:wordWrap/>
        <w:overflowPunct/>
        <w:topLinePunct w:val="0"/>
        <w:autoSpaceDE w:val="0"/>
        <w:autoSpaceDN w:val="0"/>
        <w:bidi w:val="0"/>
        <w:adjustRightInd w:val="0"/>
        <w:snapToGrid w:val="0"/>
        <w:spacing w:line="216" w:lineRule="auto"/>
        <w:rPr>
          <w:rFonts w:ascii="仿宋" w:hAnsi="仿宋" w:eastAsia="仿宋" w:cs="仿宋"/>
          <w:color w:val="auto"/>
          <w:spacing w:val="0"/>
          <w:w w:val="100"/>
          <w:position w:val="0"/>
          <w:sz w:val="24"/>
          <w:szCs w:val="24"/>
          <w:highlight w:val="none"/>
        </w:rPr>
        <w:sectPr>
          <w:footerReference r:id="rId9" w:type="default"/>
          <w:pgSz w:w="11912" w:h="16841"/>
          <w:pgMar w:top="1440" w:right="1800" w:bottom="1440" w:left="1800" w:header="0" w:footer="1034" w:gutter="0"/>
          <w:pgNumType w:fmt="decimal"/>
          <w:cols w:space="720" w:num="1"/>
        </w:sectPr>
      </w:pPr>
    </w:p>
    <w:p w14:paraId="48AA5FFE">
      <w:pPr>
        <w:keepNext w:val="0"/>
        <w:keepLines w:val="0"/>
        <w:pageBreakBefore w:val="0"/>
        <w:widowControl/>
        <w:kinsoku/>
        <w:wordWrap/>
        <w:overflowPunct/>
        <w:topLinePunct w:val="0"/>
        <w:autoSpaceDE w:val="0"/>
        <w:autoSpaceDN w:val="0"/>
        <w:bidi w:val="0"/>
        <w:adjustRightInd w:val="0"/>
        <w:snapToGrid w:val="0"/>
        <w:spacing w:before="87" w:line="222" w:lineRule="auto"/>
        <w:ind w:left="1800"/>
        <w:outlineLvl w:val="0"/>
        <w:rPr>
          <w:rFonts w:ascii="仿宋" w:hAnsi="仿宋" w:eastAsia="仿宋" w:cs="仿宋"/>
          <w:color w:val="auto"/>
          <w:spacing w:val="0"/>
          <w:w w:val="100"/>
          <w:position w:val="0"/>
          <w:sz w:val="43"/>
          <w:szCs w:val="43"/>
          <w:highlight w:val="none"/>
        </w:rPr>
      </w:pPr>
      <w:bookmarkStart w:id="354" w:name="bookmark102"/>
      <w:bookmarkEnd w:id="354"/>
      <w:bookmarkStart w:id="355" w:name="bookmark103"/>
      <w:bookmarkEnd w:id="355"/>
      <w:bookmarkStart w:id="356" w:name="_Toc19244"/>
      <w:bookmarkStart w:id="357" w:name="_Toc10920"/>
      <w:bookmarkStart w:id="358" w:name="_Toc2130"/>
      <w:bookmarkStart w:id="359" w:name="_Toc8037"/>
      <w:bookmarkStart w:id="360" w:name="_Toc6208"/>
      <w:bookmarkStart w:id="361" w:name="_Toc26861"/>
      <w:r>
        <w:rPr>
          <w:rFonts w:ascii="仿宋" w:hAnsi="仿宋" w:eastAsia="仿宋" w:cs="仿宋"/>
          <w:b/>
          <w:bCs/>
          <w:color w:val="auto"/>
          <w:spacing w:val="0"/>
          <w:w w:val="100"/>
          <w:position w:val="0"/>
          <w:sz w:val="43"/>
          <w:szCs w:val="43"/>
          <w:highlight w:val="none"/>
        </w:rPr>
        <w:t>3水源地基础环境特征调查</w:t>
      </w:r>
      <w:bookmarkEnd w:id="356"/>
      <w:bookmarkEnd w:id="357"/>
      <w:bookmarkEnd w:id="358"/>
      <w:bookmarkEnd w:id="359"/>
      <w:bookmarkEnd w:id="360"/>
      <w:bookmarkEnd w:id="361"/>
    </w:p>
    <w:p w14:paraId="7ACA6DD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right="0" w:firstLine="420" w:firstLineChars="200"/>
        <w:textAlignment w:val="baseline"/>
        <w:rPr>
          <w:color w:val="auto"/>
          <w:spacing w:val="0"/>
          <w:w w:val="100"/>
          <w:position w:val="0"/>
          <w:highlight w:val="none"/>
        </w:rPr>
      </w:pPr>
    </w:p>
    <w:p w14:paraId="31630989">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362" w:name="_Toc15209"/>
      <w:bookmarkStart w:id="363" w:name="_Toc17419"/>
      <w:bookmarkStart w:id="364" w:name="_Toc27393"/>
      <w:bookmarkStart w:id="365" w:name="_Toc28957"/>
      <w:bookmarkStart w:id="366" w:name="_Toc32034"/>
      <w:bookmarkStart w:id="367" w:name="_Toc3283"/>
      <w:r>
        <w:rPr>
          <w:rFonts w:ascii="仿宋" w:hAnsi="仿宋" w:eastAsia="仿宋" w:cs="仿宋"/>
          <w:b/>
          <w:bCs/>
          <w:color w:val="auto"/>
          <w:spacing w:val="0"/>
          <w:w w:val="100"/>
          <w:position w:val="0"/>
          <w:sz w:val="31"/>
          <w:szCs w:val="31"/>
          <w:highlight w:val="none"/>
        </w:rPr>
        <w:t>3.1水源地基本信息</w:t>
      </w:r>
      <w:bookmarkEnd w:id="362"/>
      <w:bookmarkEnd w:id="363"/>
      <w:bookmarkEnd w:id="364"/>
      <w:bookmarkEnd w:id="365"/>
      <w:bookmarkEnd w:id="366"/>
      <w:bookmarkEnd w:id="367"/>
    </w:p>
    <w:p w14:paraId="319DC78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西山水库位于伊春市伊春河干流上，坝址地理坐标为东经128°27′～128°41′，北纬47°36′～47°51′。水库由挡石河、翠峦河、</w:t>
      </w:r>
      <w:r>
        <w:rPr>
          <w:rFonts w:hint="eastAsia" w:ascii="仿宋" w:hAnsi="仿宋" w:eastAsia="仿宋" w:cs="仿宋"/>
          <w:color w:val="auto"/>
          <w:spacing w:val="0"/>
          <w:w w:val="100"/>
          <w:position w:val="0"/>
          <w:sz w:val="28"/>
          <w:szCs w:val="28"/>
          <w:highlight w:val="none"/>
          <w:lang w:eastAsia="zh-CN"/>
        </w:rPr>
        <w:t>么河</w:t>
      </w:r>
      <w:r>
        <w:rPr>
          <w:rFonts w:ascii="仿宋" w:hAnsi="仿宋" w:eastAsia="仿宋" w:cs="仿宋"/>
          <w:color w:val="auto"/>
          <w:spacing w:val="0"/>
          <w:w w:val="100"/>
          <w:position w:val="0"/>
          <w:sz w:val="28"/>
          <w:szCs w:val="28"/>
          <w:highlight w:val="none"/>
        </w:rPr>
        <w:t>汇水而成。挡石河全长36公里，河深1米，河宽12～25米。发源于冲锋经营所北挡石山和友好区交界处分水岭南坡，和翠峦河汇合成伊春河，它有两条较大支流，即太平河和高岩河。翠峦河全长64公里，河深0.30</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1米，宽19～30米。有两个源头，一个发源于开源河经营林场实验村北额头山西侧。另一个发源于该林场和绥棱林业局交界处丁字山东侧，此河有两大支流，即尖山河和扶育河。西山水库占地面积11.54平方公里，属于大型水库，控制流域面积1613平方公里，占全流域面积65.4%。</w:t>
      </w:r>
    </w:p>
    <w:p w14:paraId="1D96B41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水库主要参数：正常蓄水位284.7m，正常蓄水位相应库容0.9亿立方米；设计洪水位288.67mm，相应库容1.28亿立方米；校核洪水位288.67m，总库容1.45亿立方米</w:t>
      </w:r>
    </w:p>
    <w:p w14:paraId="1BB52195">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368" w:name="bookmark104"/>
      <w:bookmarkEnd w:id="368"/>
      <w:bookmarkStart w:id="369" w:name="_Toc27480"/>
      <w:bookmarkStart w:id="370" w:name="_Toc20446"/>
      <w:bookmarkStart w:id="371" w:name="_Toc1513"/>
      <w:bookmarkStart w:id="372" w:name="_Toc31626"/>
      <w:bookmarkStart w:id="373" w:name="_Toc17809"/>
      <w:bookmarkStart w:id="374" w:name="_Toc10623"/>
      <w:r>
        <w:rPr>
          <w:rFonts w:ascii="仿宋" w:hAnsi="仿宋" w:eastAsia="仿宋" w:cs="仿宋"/>
          <w:b/>
          <w:bCs/>
          <w:color w:val="auto"/>
          <w:spacing w:val="0"/>
          <w:w w:val="100"/>
          <w:position w:val="0"/>
          <w:sz w:val="31"/>
          <w:szCs w:val="31"/>
          <w:highlight w:val="none"/>
        </w:rPr>
        <w:t>3.2水源保护区划分情况</w:t>
      </w:r>
      <w:bookmarkEnd w:id="369"/>
      <w:bookmarkEnd w:id="370"/>
      <w:bookmarkEnd w:id="371"/>
      <w:bookmarkEnd w:id="372"/>
      <w:bookmarkEnd w:id="373"/>
      <w:bookmarkEnd w:id="374"/>
    </w:p>
    <w:p w14:paraId="68054FC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color w:val="auto"/>
          <w:spacing w:val="0"/>
          <w:w w:val="100"/>
          <w:position w:val="0"/>
          <w:highlight w:val="none"/>
        </w:rPr>
      </w:pPr>
      <w:r>
        <w:rPr>
          <w:rFonts w:ascii="仿宋" w:hAnsi="仿宋" w:eastAsia="仿宋" w:cs="仿宋"/>
          <w:color w:val="auto"/>
          <w:spacing w:val="0"/>
          <w:w w:val="100"/>
          <w:position w:val="0"/>
          <w:sz w:val="28"/>
          <w:szCs w:val="28"/>
          <w:highlight w:val="none"/>
        </w:rPr>
        <w:t>依据《乌翠区饮用水水源保护区划分技术报告》，西山水库水源保护区划分为一级保护区和二级保护区。乌翠区西山水库饮用水源地保护区范围及坐标见表3-1，3-2，3-3。</w:t>
      </w:r>
    </w:p>
    <w:p w14:paraId="79F61426">
      <w:pPr>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表3-1西山水库水源保护区划定范围</w:t>
      </w:r>
    </w:p>
    <w:tbl>
      <w:tblPr>
        <w:tblStyle w:val="13"/>
        <w:tblW w:w="504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9"/>
        <w:gridCol w:w="335"/>
        <w:gridCol w:w="6499"/>
        <w:gridCol w:w="971"/>
      </w:tblGrid>
      <w:tr w14:paraId="352B4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356" w:type="pct"/>
            <w:vAlign w:val="center"/>
          </w:tcPr>
          <w:p w14:paraId="4E2A822B">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保护区级别</w:t>
            </w:r>
          </w:p>
        </w:tc>
        <w:tc>
          <w:tcPr>
            <w:tcW w:w="4065" w:type="pct"/>
            <w:gridSpan w:val="2"/>
            <w:vAlign w:val="center"/>
          </w:tcPr>
          <w:p w14:paraId="608F203D">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范围</w:t>
            </w:r>
          </w:p>
        </w:tc>
        <w:tc>
          <w:tcPr>
            <w:tcW w:w="577" w:type="pct"/>
            <w:vAlign w:val="center"/>
          </w:tcPr>
          <w:p w14:paraId="0FCE855D">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面积（km</w:t>
            </w:r>
            <w:r>
              <w:rPr>
                <w:rFonts w:ascii="仿宋" w:hAnsi="仿宋" w:eastAsia="仿宋" w:cs="仿宋"/>
                <w:color w:val="auto"/>
                <w:spacing w:val="0"/>
                <w:w w:val="100"/>
                <w:position w:val="0"/>
                <w:sz w:val="12"/>
                <w:szCs w:val="12"/>
                <w:highlight w:val="none"/>
              </w:rPr>
              <w:t>2</w:t>
            </w:r>
            <w:r>
              <w:rPr>
                <w:rFonts w:ascii="仿宋" w:hAnsi="仿宋" w:eastAsia="仿宋" w:cs="仿宋"/>
                <w:color w:val="auto"/>
                <w:spacing w:val="0"/>
                <w:w w:val="100"/>
                <w:position w:val="0"/>
                <w:sz w:val="24"/>
                <w:szCs w:val="24"/>
                <w:highlight w:val="none"/>
              </w:rPr>
              <w:t>）</w:t>
            </w:r>
          </w:p>
        </w:tc>
      </w:tr>
      <w:tr w14:paraId="03D08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56" w:type="pct"/>
            <w:vMerge w:val="restart"/>
            <w:tcBorders>
              <w:bottom w:val="nil"/>
            </w:tcBorders>
            <w:vAlign w:val="center"/>
          </w:tcPr>
          <w:p w14:paraId="77618583">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一级保护区</w:t>
            </w:r>
          </w:p>
        </w:tc>
        <w:tc>
          <w:tcPr>
            <w:tcW w:w="199" w:type="pct"/>
            <w:vAlign w:val="center"/>
          </w:tcPr>
          <w:p w14:paraId="30EFCECE">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水域</w:t>
            </w:r>
          </w:p>
        </w:tc>
        <w:tc>
          <w:tcPr>
            <w:tcW w:w="3866" w:type="pct"/>
            <w:vAlign w:val="center"/>
          </w:tcPr>
          <w:p w14:paraId="17D538AA">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西山水库取水口半径500米范围内的区域</w:t>
            </w:r>
          </w:p>
        </w:tc>
        <w:tc>
          <w:tcPr>
            <w:tcW w:w="577" w:type="pct"/>
            <w:vAlign w:val="center"/>
          </w:tcPr>
          <w:p w14:paraId="55427EF6">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0.44</w:t>
            </w:r>
          </w:p>
        </w:tc>
      </w:tr>
      <w:tr w14:paraId="41603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56" w:type="pct"/>
            <w:vMerge w:val="continue"/>
            <w:tcBorders>
              <w:top w:val="nil"/>
            </w:tcBorders>
            <w:vAlign w:val="center"/>
          </w:tcPr>
          <w:p w14:paraId="7C96762E">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Arial"/>
                <w:color w:val="auto"/>
                <w:spacing w:val="0"/>
                <w:w w:val="100"/>
                <w:position w:val="0"/>
                <w:sz w:val="21"/>
                <w:highlight w:val="none"/>
              </w:rPr>
            </w:pPr>
          </w:p>
        </w:tc>
        <w:tc>
          <w:tcPr>
            <w:tcW w:w="199" w:type="pct"/>
            <w:vAlign w:val="center"/>
          </w:tcPr>
          <w:p w14:paraId="0ECD9981">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陆域</w:t>
            </w:r>
          </w:p>
        </w:tc>
        <w:tc>
          <w:tcPr>
            <w:tcW w:w="3866" w:type="pct"/>
            <w:vAlign w:val="center"/>
          </w:tcPr>
          <w:p w14:paraId="1FB898B6">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西山水库取水口侧正常水位线以上200m内的陆域</w:t>
            </w:r>
          </w:p>
        </w:tc>
        <w:tc>
          <w:tcPr>
            <w:tcW w:w="577" w:type="pct"/>
            <w:vAlign w:val="center"/>
          </w:tcPr>
          <w:p w14:paraId="450E76C7">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0.21</w:t>
            </w:r>
          </w:p>
        </w:tc>
      </w:tr>
      <w:tr w14:paraId="6F7DB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356" w:type="pct"/>
            <w:vMerge w:val="restart"/>
            <w:vAlign w:val="center"/>
          </w:tcPr>
          <w:p w14:paraId="64C3BF21">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二级保护区</w:t>
            </w:r>
          </w:p>
        </w:tc>
        <w:tc>
          <w:tcPr>
            <w:tcW w:w="199" w:type="pct"/>
            <w:vAlign w:val="center"/>
          </w:tcPr>
          <w:p w14:paraId="6060E621">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水域</w:t>
            </w:r>
          </w:p>
        </w:tc>
        <w:tc>
          <w:tcPr>
            <w:tcW w:w="3866" w:type="pct"/>
            <w:vAlign w:val="center"/>
          </w:tcPr>
          <w:p w14:paraId="2FC8A543">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整个西山水库库区正常水位线284.7m以下（一级保护区水域面积外）水域，各入库河流（挡石河、翠峦河、</w:t>
            </w:r>
            <w:r>
              <w:rPr>
                <w:rFonts w:hint="eastAsia" w:ascii="仿宋" w:hAnsi="仿宋" w:eastAsia="仿宋" w:cs="仿宋"/>
                <w:color w:val="auto"/>
                <w:spacing w:val="0"/>
                <w:w w:val="100"/>
                <w:position w:val="0"/>
                <w:sz w:val="24"/>
                <w:szCs w:val="24"/>
                <w:highlight w:val="none"/>
                <w:lang w:eastAsia="zh-CN"/>
              </w:rPr>
              <w:t>么河</w:t>
            </w:r>
            <w:r>
              <w:rPr>
                <w:rFonts w:ascii="仿宋" w:hAnsi="仿宋" w:eastAsia="仿宋" w:cs="仿宋"/>
                <w:color w:val="auto"/>
                <w:spacing w:val="0"/>
                <w:w w:val="100"/>
                <w:position w:val="0"/>
                <w:sz w:val="24"/>
                <w:szCs w:val="24"/>
                <w:highlight w:val="none"/>
              </w:rPr>
              <w:t>）则为水库入库口至上游2km之间的水域范围</w:t>
            </w:r>
          </w:p>
        </w:tc>
        <w:tc>
          <w:tcPr>
            <w:tcW w:w="577" w:type="pct"/>
            <w:vAlign w:val="center"/>
          </w:tcPr>
          <w:p w14:paraId="63D36D32">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12.18</w:t>
            </w:r>
          </w:p>
        </w:tc>
      </w:tr>
      <w:tr w14:paraId="3184D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356" w:type="pct"/>
            <w:vMerge w:val="continue"/>
            <w:vAlign w:val="center"/>
          </w:tcPr>
          <w:p w14:paraId="1EF565F0">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Arial"/>
                <w:color w:val="auto"/>
                <w:spacing w:val="0"/>
                <w:w w:val="100"/>
                <w:position w:val="0"/>
                <w:sz w:val="21"/>
                <w:highlight w:val="none"/>
              </w:rPr>
            </w:pPr>
          </w:p>
        </w:tc>
        <w:tc>
          <w:tcPr>
            <w:tcW w:w="199" w:type="pct"/>
            <w:vAlign w:val="center"/>
          </w:tcPr>
          <w:p w14:paraId="08D63DC3">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陆域</w:t>
            </w:r>
          </w:p>
        </w:tc>
        <w:tc>
          <w:tcPr>
            <w:tcW w:w="3866" w:type="pct"/>
            <w:vAlign w:val="center"/>
          </w:tcPr>
          <w:p w14:paraId="4C54D346">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①西山水库周围不小于3000m的区域（但不超过分水岭）</w:t>
            </w:r>
          </w:p>
          <w:p w14:paraId="4D94B011">
            <w:pPr>
              <w:keepNext w:val="0"/>
              <w:keepLines w:val="0"/>
              <w:pageBreakBefore w:val="0"/>
              <w:widowControl/>
              <w:kinsoku/>
              <w:wordWrap/>
              <w:overflowPunct/>
              <w:topLinePunct w:val="0"/>
              <w:autoSpaceDE w:val="0"/>
              <w:autoSpaceDN w:val="0"/>
              <w:bidi w:val="0"/>
              <w:adjustRightInd w:val="0"/>
              <w:snapToGrid w:val="0"/>
              <w:spacing w:before="38" w:line="230" w:lineRule="auto"/>
              <w:ind w:left="14" w:right="4" w:hanging="7"/>
              <w:jc w:val="both"/>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②各入库河流（</w:t>
            </w:r>
            <w:r>
              <w:rPr>
                <w:rFonts w:hint="eastAsia" w:ascii="仿宋" w:hAnsi="仿宋" w:eastAsia="仿宋" w:cs="仿宋"/>
                <w:color w:val="auto"/>
                <w:spacing w:val="0"/>
                <w:w w:val="100"/>
                <w:position w:val="0"/>
                <w:sz w:val="24"/>
                <w:szCs w:val="24"/>
                <w:highlight w:val="none"/>
                <w:lang w:eastAsia="zh-CN"/>
              </w:rPr>
              <w:t>么河</w:t>
            </w:r>
            <w:r>
              <w:rPr>
                <w:rFonts w:ascii="仿宋" w:hAnsi="仿宋" w:eastAsia="仿宋" w:cs="仿宋"/>
                <w:color w:val="auto"/>
                <w:spacing w:val="0"/>
                <w:w w:val="100"/>
                <w:position w:val="0"/>
                <w:sz w:val="24"/>
                <w:szCs w:val="24"/>
                <w:highlight w:val="none"/>
              </w:rPr>
              <w:t>、挡石河、翠峦河）部分二级保护区陆域长度与水域长度一致，陆域宽度则为各入库河流沿岸纵深范围不小于1000m区域。</w:t>
            </w:r>
          </w:p>
        </w:tc>
        <w:tc>
          <w:tcPr>
            <w:tcW w:w="577" w:type="pct"/>
            <w:vAlign w:val="center"/>
          </w:tcPr>
          <w:p w14:paraId="001E1F1A">
            <w:pPr>
              <w:keepNext w:val="0"/>
              <w:keepLines w:val="0"/>
              <w:pageBreakBefore w:val="0"/>
              <w:widowControl/>
              <w:kinsoku/>
              <w:wordWrap/>
              <w:overflowPunct/>
              <w:topLinePunct w:val="0"/>
              <w:autoSpaceDE w:val="0"/>
              <w:autoSpaceDN w:val="0"/>
              <w:bidi w:val="0"/>
              <w:adjustRightInd w:val="0"/>
              <w:snapToGrid w:val="0"/>
              <w:spacing w:line="240" w:lineRule="auto"/>
              <w:ind w:lef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51.31</w:t>
            </w:r>
          </w:p>
        </w:tc>
      </w:tr>
      <w:tr w14:paraId="69E0E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2" w:hRule="atLeast"/>
        </w:trPr>
        <w:tc>
          <w:tcPr>
            <w:tcW w:w="356" w:type="pct"/>
            <w:vMerge w:val="restart"/>
            <w:tcBorders>
              <w:bottom w:val="nil"/>
            </w:tcBorders>
            <w:vAlign w:val="center"/>
          </w:tcPr>
          <w:p w14:paraId="6FCEA1A2">
            <w:pPr>
              <w:keepNext w:val="0"/>
              <w:keepLines w:val="0"/>
              <w:pageBreakBefore w:val="0"/>
              <w:widowControl/>
              <w:kinsoku/>
              <w:wordWrap/>
              <w:overflowPunct/>
              <w:topLinePunct w:val="0"/>
              <w:autoSpaceDE w:val="0"/>
              <w:autoSpaceDN w:val="0"/>
              <w:bidi w:val="0"/>
              <w:adjustRightInd w:val="0"/>
              <w:snapToGrid w:val="0"/>
              <w:spacing w:before="78" w:line="217" w:lineRule="auto"/>
              <w:ind w:left="90"/>
              <w:jc w:val="center"/>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23准保护区</w:t>
            </w:r>
          </w:p>
        </w:tc>
        <w:tc>
          <w:tcPr>
            <w:tcW w:w="199" w:type="pct"/>
            <w:vAlign w:val="center"/>
          </w:tcPr>
          <w:p w14:paraId="29AA78A3">
            <w:pPr>
              <w:keepNext w:val="0"/>
              <w:keepLines w:val="0"/>
              <w:pageBreakBefore w:val="0"/>
              <w:widowControl/>
              <w:kinsoku/>
              <w:wordWrap/>
              <w:overflowPunct/>
              <w:topLinePunct w:val="0"/>
              <w:autoSpaceDE w:val="0"/>
              <w:autoSpaceDN w:val="0"/>
              <w:bidi w:val="0"/>
              <w:adjustRightInd w:val="0"/>
              <w:snapToGrid w:val="0"/>
              <w:spacing w:before="78" w:line="219" w:lineRule="auto"/>
              <w:ind w:left="45"/>
              <w:jc w:val="center"/>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水域</w:t>
            </w:r>
          </w:p>
        </w:tc>
        <w:tc>
          <w:tcPr>
            <w:tcW w:w="3866" w:type="pct"/>
            <w:vAlign w:val="center"/>
          </w:tcPr>
          <w:p w14:paraId="061ED8D0">
            <w:pPr>
              <w:keepNext w:val="0"/>
              <w:keepLines w:val="0"/>
              <w:pageBreakBefore w:val="0"/>
              <w:widowControl/>
              <w:kinsoku/>
              <w:wordWrap/>
              <w:overflowPunct/>
              <w:topLinePunct w:val="0"/>
              <w:autoSpaceDE w:val="0"/>
              <w:autoSpaceDN w:val="0"/>
              <w:bidi w:val="0"/>
              <w:adjustRightInd w:val="0"/>
              <w:snapToGrid w:val="0"/>
              <w:spacing w:before="35" w:line="235" w:lineRule="auto"/>
              <w:ind w:left="14" w:hanging="6"/>
              <w:jc w:val="center"/>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①准保护区水域起点为各入库河流（挡石河、翠峦河、</w:t>
            </w:r>
            <w:r>
              <w:rPr>
                <w:rFonts w:hint="eastAsia" w:ascii="仿宋" w:hAnsi="仿宋" w:eastAsia="仿宋" w:cs="仿宋"/>
                <w:color w:val="auto"/>
                <w:spacing w:val="0"/>
                <w:w w:val="100"/>
                <w:position w:val="0"/>
                <w:sz w:val="24"/>
                <w:szCs w:val="24"/>
                <w:highlight w:val="none"/>
                <w:lang w:eastAsia="zh-CN"/>
              </w:rPr>
              <w:t>么河</w:t>
            </w:r>
            <w:r>
              <w:rPr>
                <w:rFonts w:ascii="仿宋" w:hAnsi="仿宋" w:eastAsia="仿宋" w:cs="仿宋"/>
                <w:color w:val="auto"/>
                <w:spacing w:val="0"/>
                <w:w w:val="100"/>
                <w:position w:val="0"/>
                <w:sz w:val="24"/>
                <w:szCs w:val="24"/>
                <w:highlight w:val="none"/>
              </w:rPr>
              <w:t>）入库口上游2公里处，准保护区水域长度分别为二级保护区边界（挡石河段）至上游13.6公里水域长度；二级保护区边界（翠峦河段）至上游10.3公里水域长度</w:t>
            </w:r>
          </w:p>
          <w:p w14:paraId="223DEA4C">
            <w:pPr>
              <w:keepNext w:val="0"/>
              <w:keepLines w:val="0"/>
              <w:pageBreakBefore w:val="0"/>
              <w:widowControl/>
              <w:kinsoku/>
              <w:wordWrap/>
              <w:overflowPunct/>
              <w:topLinePunct w:val="0"/>
              <w:autoSpaceDE w:val="0"/>
              <w:autoSpaceDN w:val="0"/>
              <w:bidi w:val="0"/>
              <w:adjustRightInd w:val="0"/>
              <w:snapToGrid w:val="0"/>
              <w:spacing w:before="24" w:line="233" w:lineRule="auto"/>
              <w:ind w:left="15" w:hanging="8"/>
              <w:jc w:val="both"/>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②对于翠峦河段汇入的尖山河和扶育河这两个较大的支流，则尖山河河段准保护区水域长度为二级保护区边界（翠峦河段）至上游9公里之间的水域范围，扶育河段为二级保护区边界（翠峦河段）至上游7.7公里之间的水域范围。</w:t>
            </w:r>
          </w:p>
        </w:tc>
        <w:tc>
          <w:tcPr>
            <w:tcW w:w="577" w:type="pct"/>
            <w:vAlign w:val="center"/>
          </w:tcPr>
          <w:p w14:paraId="54428956">
            <w:pPr>
              <w:keepNext w:val="0"/>
              <w:keepLines w:val="0"/>
              <w:pageBreakBefore w:val="0"/>
              <w:widowControl/>
              <w:kinsoku/>
              <w:wordWrap/>
              <w:overflowPunct/>
              <w:topLinePunct w:val="0"/>
              <w:autoSpaceDE w:val="0"/>
              <w:autoSpaceDN w:val="0"/>
              <w:bidi w:val="0"/>
              <w:adjustRightInd w:val="0"/>
              <w:snapToGrid w:val="0"/>
              <w:spacing w:before="78" w:line="236" w:lineRule="auto"/>
              <w:jc w:val="center"/>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2.55</w:t>
            </w:r>
          </w:p>
        </w:tc>
      </w:tr>
      <w:tr w14:paraId="03569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356" w:type="pct"/>
            <w:vMerge w:val="continue"/>
            <w:tcBorders>
              <w:top w:val="nil"/>
            </w:tcBorders>
            <w:vAlign w:val="center"/>
          </w:tcPr>
          <w:p w14:paraId="0988BDB1">
            <w:pPr>
              <w:keepNext w:val="0"/>
              <w:keepLines w:val="0"/>
              <w:pageBreakBefore w:val="0"/>
              <w:widowControl/>
              <w:kinsoku/>
              <w:wordWrap/>
              <w:overflowPunct/>
              <w:topLinePunct w:val="0"/>
              <w:autoSpaceDE w:val="0"/>
              <w:autoSpaceDN w:val="0"/>
              <w:bidi w:val="0"/>
              <w:adjustRightInd w:val="0"/>
              <w:snapToGrid w:val="0"/>
              <w:jc w:val="center"/>
              <w:rPr>
                <w:rFonts w:ascii="Arial"/>
                <w:color w:val="auto"/>
                <w:spacing w:val="0"/>
                <w:w w:val="100"/>
                <w:position w:val="0"/>
                <w:sz w:val="21"/>
                <w:highlight w:val="none"/>
              </w:rPr>
            </w:pPr>
          </w:p>
        </w:tc>
        <w:tc>
          <w:tcPr>
            <w:tcW w:w="199" w:type="pct"/>
            <w:vAlign w:val="center"/>
          </w:tcPr>
          <w:p w14:paraId="0B826F04">
            <w:pPr>
              <w:keepNext w:val="0"/>
              <w:keepLines w:val="0"/>
              <w:pageBreakBefore w:val="0"/>
              <w:widowControl/>
              <w:kinsoku/>
              <w:wordWrap/>
              <w:overflowPunct/>
              <w:topLinePunct w:val="0"/>
              <w:autoSpaceDE w:val="0"/>
              <w:autoSpaceDN w:val="0"/>
              <w:bidi w:val="0"/>
              <w:adjustRightInd w:val="0"/>
              <w:snapToGrid w:val="0"/>
              <w:spacing w:before="78" w:line="220" w:lineRule="auto"/>
              <w:ind w:left="64"/>
              <w:jc w:val="center"/>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陆域</w:t>
            </w:r>
          </w:p>
        </w:tc>
        <w:tc>
          <w:tcPr>
            <w:tcW w:w="3866" w:type="pct"/>
            <w:vAlign w:val="center"/>
          </w:tcPr>
          <w:p w14:paraId="2A98A586">
            <w:pPr>
              <w:keepNext w:val="0"/>
              <w:keepLines w:val="0"/>
              <w:pageBreakBefore w:val="0"/>
              <w:widowControl/>
              <w:kinsoku/>
              <w:wordWrap/>
              <w:overflowPunct/>
              <w:topLinePunct w:val="0"/>
              <w:autoSpaceDE w:val="0"/>
              <w:autoSpaceDN w:val="0"/>
              <w:bidi w:val="0"/>
              <w:adjustRightInd w:val="0"/>
              <w:snapToGrid w:val="0"/>
              <w:spacing w:before="42" w:line="231" w:lineRule="auto"/>
              <w:ind w:left="15" w:right="4" w:firstLine="3"/>
              <w:jc w:val="center"/>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西山水库部分以水库两侧山脊线为边界；准保护区陆域长度与水域长度相同，陆域宽度则以各入库河流两岸山脊线为边界，并包括该水域范围内各支流的集水区域。</w:t>
            </w:r>
          </w:p>
        </w:tc>
        <w:tc>
          <w:tcPr>
            <w:tcW w:w="577" w:type="pct"/>
            <w:vAlign w:val="center"/>
          </w:tcPr>
          <w:p w14:paraId="6749F3C5">
            <w:pPr>
              <w:keepNext w:val="0"/>
              <w:keepLines w:val="0"/>
              <w:pageBreakBefore w:val="0"/>
              <w:widowControl/>
              <w:kinsoku/>
              <w:wordWrap/>
              <w:overflowPunct/>
              <w:topLinePunct w:val="0"/>
              <w:autoSpaceDE w:val="0"/>
              <w:autoSpaceDN w:val="0"/>
              <w:bidi w:val="0"/>
              <w:adjustRightInd w:val="0"/>
              <w:snapToGrid w:val="0"/>
              <w:spacing w:before="78" w:line="236" w:lineRule="auto"/>
              <w:jc w:val="center"/>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242.14</w:t>
            </w:r>
          </w:p>
        </w:tc>
      </w:tr>
    </w:tbl>
    <w:p w14:paraId="4A3D798E">
      <w:pPr>
        <w:keepNext w:val="0"/>
        <w:keepLines w:val="0"/>
        <w:pageBreakBefore w:val="0"/>
        <w:widowControl/>
        <w:kinsoku/>
        <w:wordWrap/>
        <w:overflowPunct/>
        <w:topLinePunct w:val="0"/>
        <w:autoSpaceDE w:val="0"/>
        <w:autoSpaceDN w:val="0"/>
        <w:bidi w:val="0"/>
        <w:adjustRightInd w:val="0"/>
        <w:snapToGrid w:val="0"/>
        <w:spacing w:before="242" w:line="217" w:lineRule="auto"/>
        <w:ind w:left="2427"/>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表3-2西山水库水源一级保护区拐点坐标表</w:t>
      </w:r>
    </w:p>
    <w:p w14:paraId="65C17AD9">
      <w:pPr>
        <w:keepNext w:val="0"/>
        <w:keepLines w:val="0"/>
        <w:pageBreakBefore w:val="0"/>
        <w:widowControl/>
        <w:kinsoku/>
        <w:wordWrap/>
        <w:overflowPunct/>
        <w:topLinePunct w:val="0"/>
        <w:autoSpaceDE w:val="0"/>
        <w:autoSpaceDN w:val="0"/>
        <w:bidi w:val="0"/>
        <w:adjustRightInd w:val="0"/>
        <w:snapToGrid w:val="0"/>
        <w:spacing w:line="37" w:lineRule="exact"/>
        <w:rPr>
          <w:color w:val="auto"/>
          <w:spacing w:val="0"/>
          <w:w w:val="100"/>
          <w:position w:val="0"/>
          <w:highlight w:val="none"/>
        </w:rPr>
      </w:pPr>
    </w:p>
    <w:tbl>
      <w:tblPr>
        <w:tblStyle w:val="1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68"/>
        <w:gridCol w:w="1581"/>
        <w:gridCol w:w="1841"/>
        <w:gridCol w:w="636"/>
        <w:gridCol w:w="1643"/>
        <w:gridCol w:w="1846"/>
      </w:tblGrid>
      <w:tr w14:paraId="1A80C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469" w:type="pct"/>
            <w:vMerge w:val="restart"/>
            <w:tcBorders>
              <w:bottom w:val="nil"/>
            </w:tcBorders>
            <w:vAlign w:val="center"/>
          </w:tcPr>
          <w:p w14:paraId="5D5F333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标注名</w:t>
            </w:r>
          </w:p>
        </w:tc>
        <w:tc>
          <w:tcPr>
            <w:tcW w:w="2030" w:type="pct"/>
            <w:gridSpan w:val="2"/>
            <w:vAlign w:val="center"/>
          </w:tcPr>
          <w:p w14:paraId="3D224F1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坐标</w:t>
            </w:r>
          </w:p>
        </w:tc>
        <w:tc>
          <w:tcPr>
            <w:tcW w:w="389" w:type="pct"/>
            <w:vMerge w:val="restart"/>
            <w:tcBorders>
              <w:bottom w:val="nil"/>
            </w:tcBorders>
            <w:vAlign w:val="center"/>
          </w:tcPr>
          <w:p w14:paraId="3877E4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标注名</w:t>
            </w:r>
          </w:p>
        </w:tc>
        <w:tc>
          <w:tcPr>
            <w:tcW w:w="2110" w:type="pct"/>
            <w:gridSpan w:val="2"/>
            <w:vAlign w:val="center"/>
          </w:tcPr>
          <w:p w14:paraId="09A78EE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坐标</w:t>
            </w:r>
          </w:p>
        </w:tc>
      </w:tr>
      <w:tr w14:paraId="6F51B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469" w:type="pct"/>
            <w:vMerge w:val="continue"/>
            <w:tcBorders>
              <w:top w:val="nil"/>
            </w:tcBorders>
            <w:vAlign w:val="center"/>
          </w:tcPr>
          <w:p w14:paraId="3E6E755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917" w:type="pct"/>
            <w:vAlign w:val="center"/>
          </w:tcPr>
          <w:p w14:paraId="5D3691E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东经</w:t>
            </w:r>
          </w:p>
        </w:tc>
        <w:tc>
          <w:tcPr>
            <w:tcW w:w="1112" w:type="pct"/>
            <w:vAlign w:val="center"/>
          </w:tcPr>
          <w:p w14:paraId="06CD1B0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北纬</w:t>
            </w:r>
          </w:p>
        </w:tc>
        <w:tc>
          <w:tcPr>
            <w:tcW w:w="389" w:type="pct"/>
            <w:vMerge w:val="continue"/>
            <w:tcBorders>
              <w:top w:val="nil"/>
            </w:tcBorders>
            <w:vAlign w:val="center"/>
          </w:tcPr>
          <w:p w14:paraId="6D292D8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994" w:type="pct"/>
            <w:vAlign w:val="center"/>
          </w:tcPr>
          <w:p w14:paraId="54FE416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东经</w:t>
            </w:r>
          </w:p>
        </w:tc>
        <w:tc>
          <w:tcPr>
            <w:tcW w:w="1115" w:type="pct"/>
            <w:vAlign w:val="center"/>
          </w:tcPr>
          <w:p w14:paraId="5A46D70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北纬</w:t>
            </w:r>
          </w:p>
        </w:tc>
      </w:tr>
      <w:tr w14:paraId="5268B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9" w:type="pct"/>
            <w:vAlign w:val="center"/>
          </w:tcPr>
          <w:p w14:paraId="6088A5C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Y1</w:t>
            </w:r>
          </w:p>
        </w:tc>
        <w:tc>
          <w:tcPr>
            <w:tcW w:w="917" w:type="pct"/>
            <w:vAlign w:val="center"/>
          </w:tcPr>
          <w:p w14:paraId="56D3BA4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128°37′20.20"</w:t>
            </w:r>
          </w:p>
        </w:tc>
        <w:tc>
          <w:tcPr>
            <w:tcW w:w="1112" w:type="pct"/>
            <w:vAlign w:val="center"/>
          </w:tcPr>
          <w:p w14:paraId="603741B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47°43′55.25"</w:t>
            </w:r>
          </w:p>
        </w:tc>
        <w:tc>
          <w:tcPr>
            <w:tcW w:w="389" w:type="pct"/>
            <w:vAlign w:val="center"/>
          </w:tcPr>
          <w:p w14:paraId="34AA26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Y4</w:t>
            </w:r>
          </w:p>
        </w:tc>
        <w:tc>
          <w:tcPr>
            <w:tcW w:w="994" w:type="pct"/>
            <w:vAlign w:val="center"/>
          </w:tcPr>
          <w:p w14:paraId="34C4C14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128°37′9.49"</w:t>
            </w:r>
          </w:p>
        </w:tc>
        <w:tc>
          <w:tcPr>
            <w:tcW w:w="1115" w:type="pct"/>
            <w:vAlign w:val="center"/>
          </w:tcPr>
          <w:p w14:paraId="60532E2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47°43′22.11"</w:t>
            </w:r>
          </w:p>
        </w:tc>
      </w:tr>
      <w:tr w14:paraId="7D220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69" w:type="pct"/>
            <w:vAlign w:val="center"/>
          </w:tcPr>
          <w:p w14:paraId="2631DD9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Y2</w:t>
            </w:r>
          </w:p>
        </w:tc>
        <w:tc>
          <w:tcPr>
            <w:tcW w:w="917" w:type="pct"/>
            <w:vAlign w:val="center"/>
          </w:tcPr>
          <w:p w14:paraId="14FFC6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128°37′30.98"</w:t>
            </w:r>
          </w:p>
        </w:tc>
        <w:tc>
          <w:tcPr>
            <w:tcW w:w="1112" w:type="pct"/>
            <w:vAlign w:val="center"/>
          </w:tcPr>
          <w:p w14:paraId="739B107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47°43′38.96"</w:t>
            </w:r>
          </w:p>
        </w:tc>
        <w:tc>
          <w:tcPr>
            <w:tcW w:w="389" w:type="pct"/>
            <w:vAlign w:val="center"/>
          </w:tcPr>
          <w:p w14:paraId="26B9716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Y5</w:t>
            </w:r>
          </w:p>
        </w:tc>
        <w:tc>
          <w:tcPr>
            <w:tcW w:w="994" w:type="pct"/>
            <w:vAlign w:val="center"/>
          </w:tcPr>
          <w:p w14:paraId="3A73D58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128°36′53.25"</w:t>
            </w:r>
          </w:p>
        </w:tc>
        <w:tc>
          <w:tcPr>
            <w:tcW w:w="1115" w:type="pct"/>
            <w:vAlign w:val="center"/>
          </w:tcPr>
          <w:p w14:paraId="71432F6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47°43′34.09"</w:t>
            </w:r>
          </w:p>
        </w:tc>
      </w:tr>
      <w:tr w14:paraId="67A9A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469" w:type="pct"/>
            <w:vAlign w:val="center"/>
          </w:tcPr>
          <w:p w14:paraId="635DBB7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Y3</w:t>
            </w:r>
          </w:p>
        </w:tc>
        <w:tc>
          <w:tcPr>
            <w:tcW w:w="917" w:type="pct"/>
            <w:vAlign w:val="center"/>
          </w:tcPr>
          <w:p w14:paraId="661DBAF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128°37′31.34"</w:t>
            </w:r>
          </w:p>
        </w:tc>
        <w:tc>
          <w:tcPr>
            <w:tcW w:w="1112" w:type="pct"/>
            <w:vAlign w:val="center"/>
          </w:tcPr>
          <w:p w14:paraId="36DE65D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47°43′22.33"</w:t>
            </w:r>
          </w:p>
        </w:tc>
        <w:tc>
          <w:tcPr>
            <w:tcW w:w="389" w:type="pct"/>
            <w:vAlign w:val="center"/>
          </w:tcPr>
          <w:p w14:paraId="650D55A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Y6</w:t>
            </w:r>
          </w:p>
        </w:tc>
        <w:tc>
          <w:tcPr>
            <w:tcW w:w="994" w:type="pct"/>
            <w:vAlign w:val="center"/>
          </w:tcPr>
          <w:p w14:paraId="7ABC49B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128°36′58.11"</w:t>
            </w:r>
          </w:p>
        </w:tc>
        <w:tc>
          <w:tcPr>
            <w:tcW w:w="1115" w:type="pct"/>
            <w:vAlign w:val="center"/>
          </w:tcPr>
          <w:p w14:paraId="4B7A9B2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47°43′47.81"</w:t>
            </w:r>
          </w:p>
        </w:tc>
      </w:tr>
    </w:tbl>
    <w:p w14:paraId="5B563591">
      <w:pPr>
        <w:keepNext w:val="0"/>
        <w:keepLines w:val="0"/>
        <w:pageBreakBefore w:val="0"/>
        <w:widowControl/>
        <w:kinsoku/>
        <w:wordWrap/>
        <w:overflowPunct/>
        <w:topLinePunct w:val="0"/>
        <w:autoSpaceDE w:val="0"/>
        <w:autoSpaceDN w:val="0"/>
        <w:bidi w:val="0"/>
        <w:adjustRightInd w:val="0"/>
        <w:snapToGrid w:val="0"/>
        <w:spacing w:before="242" w:line="217" w:lineRule="auto"/>
        <w:ind w:left="2504"/>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表3-3西山水库水源二级保护区拐点坐标表</w:t>
      </w:r>
    </w:p>
    <w:p w14:paraId="4DB84F3E">
      <w:pPr>
        <w:keepNext w:val="0"/>
        <w:keepLines w:val="0"/>
        <w:pageBreakBefore w:val="0"/>
        <w:widowControl/>
        <w:kinsoku/>
        <w:wordWrap/>
        <w:overflowPunct/>
        <w:topLinePunct w:val="0"/>
        <w:autoSpaceDE w:val="0"/>
        <w:autoSpaceDN w:val="0"/>
        <w:bidi w:val="0"/>
        <w:adjustRightInd w:val="0"/>
        <w:snapToGrid w:val="0"/>
        <w:spacing w:line="34" w:lineRule="exact"/>
        <w:rPr>
          <w:color w:val="auto"/>
          <w:spacing w:val="0"/>
          <w:w w:val="100"/>
          <w:position w:val="0"/>
          <w:highlight w:val="none"/>
        </w:rPr>
      </w:pPr>
    </w:p>
    <w:tbl>
      <w:tblPr>
        <w:tblStyle w:val="1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7"/>
        <w:gridCol w:w="1718"/>
        <w:gridCol w:w="1788"/>
        <w:gridCol w:w="650"/>
        <w:gridCol w:w="1719"/>
        <w:gridCol w:w="1793"/>
      </w:tblGrid>
      <w:tr w14:paraId="40DF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389" w:type="pct"/>
            <w:vMerge w:val="restart"/>
            <w:tcBorders>
              <w:bottom w:val="nil"/>
            </w:tcBorders>
            <w:vAlign w:val="center"/>
          </w:tcPr>
          <w:p w14:paraId="351E72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标注名</w:t>
            </w:r>
          </w:p>
        </w:tc>
        <w:tc>
          <w:tcPr>
            <w:tcW w:w="2108" w:type="pct"/>
            <w:gridSpan w:val="2"/>
            <w:vAlign w:val="center"/>
          </w:tcPr>
          <w:p w14:paraId="3D5D0BD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坐标</w:t>
            </w:r>
          </w:p>
        </w:tc>
        <w:tc>
          <w:tcPr>
            <w:tcW w:w="391" w:type="pct"/>
            <w:vMerge w:val="restart"/>
            <w:tcBorders>
              <w:bottom w:val="nil"/>
            </w:tcBorders>
            <w:vAlign w:val="center"/>
          </w:tcPr>
          <w:p w14:paraId="30E3953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标注名</w:t>
            </w:r>
          </w:p>
        </w:tc>
        <w:tc>
          <w:tcPr>
            <w:tcW w:w="2110" w:type="pct"/>
            <w:gridSpan w:val="2"/>
            <w:vAlign w:val="center"/>
          </w:tcPr>
          <w:p w14:paraId="5EFA34E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坐标</w:t>
            </w:r>
          </w:p>
        </w:tc>
      </w:tr>
      <w:tr w14:paraId="098DE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389" w:type="pct"/>
            <w:vMerge w:val="continue"/>
            <w:tcBorders>
              <w:top w:val="nil"/>
            </w:tcBorders>
            <w:vAlign w:val="center"/>
          </w:tcPr>
          <w:p w14:paraId="3A01699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1033" w:type="pct"/>
            <w:vAlign w:val="center"/>
          </w:tcPr>
          <w:p w14:paraId="528E475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经度</w:t>
            </w:r>
          </w:p>
        </w:tc>
        <w:tc>
          <w:tcPr>
            <w:tcW w:w="1075" w:type="pct"/>
            <w:vAlign w:val="center"/>
          </w:tcPr>
          <w:p w14:paraId="1ABA6CA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纬度</w:t>
            </w:r>
          </w:p>
        </w:tc>
        <w:tc>
          <w:tcPr>
            <w:tcW w:w="391" w:type="pct"/>
            <w:vMerge w:val="continue"/>
            <w:tcBorders>
              <w:top w:val="nil"/>
            </w:tcBorders>
            <w:vAlign w:val="center"/>
          </w:tcPr>
          <w:p w14:paraId="7E4DF9F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1033" w:type="pct"/>
            <w:vAlign w:val="center"/>
          </w:tcPr>
          <w:p w14:paraId="449C815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经度</w:t>
            </w:r>
          </w:p>
        </w:tc>
        <w:tc>
          <w:tcPr>
            <w:tcW w:w="1077" w:type="pct"/>
            <w:vAlign w:val="center"/>
          </w:tcPr>
          <w:p w14:paraId="3B1CBD0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纬度</w:t>
            </w:r>
          </w:p>
        </w:tc>
      </w:tr>
      <w:tr w14:paraId="7E706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389" w:type="pct"/>
            <w:vAlign w:val="center"/>
          </w:tcPr>
          <w:p w14:paraId="0E2EFBE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w:t>
            </w:r>
          </w:p>
        </w:tc>
        <w:tc>
          <w:tcPr>
            <w:tcW w:w="1033" w:type="pct"/>
            <w:vAlign w:val="center"/>
          </w:tcPr>
          <w:p w14:paraId="6EEBBF0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128°37′55.20"</w:t>
            </w:r>
          </w:p>
        </w:tc>
        <w:tc>
          <w:tcPr>
            <w:tcW w:w="1075" w:type="pct"/>
            <w:vAlign w:val="center"/>
          </w:tcPr>
          <w:p w14:paraId="59858AE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47°44′36.96"</w:t>
            </w:r>
          </w:p>
        </w:tc>
        <w:tc>
          <w:tcPr>
            <w:tcW w:w="391" w:type="pct"/>
            <w:vAlign w:val="center"/>
          </w:tcPr>
          <w:p w14:paraId="6EF0E40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E17</w:t>
            </w:r>
          </w:p>
        </w:tc>
        <w:tc>
          <w:tcPr>
            <w:tcW w:w="1033" w:type="pct"/>
            <w:vAlign w:val="center"/>
          </w:tcPr>
          <w:p w14:paraId="29A2301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128°34′41.25"</w:t>
            </w:r>
          </w:p>
        </w:tc>
        <w:tc>
          <w:tcPr>
            <w:tcW w:w="1077" w:type="pct"/>
            <w:vAlign w:val="center"/>
          </w:tcPr>
          <w:p w14:paraId="74DD668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47°45′9.66"</w:t>
            </w:r>
          </w:p>
        </w:tc>
      </w:tr>
      <w:tr w14:paraId="1B607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389" w:type="pct"/>
            <w:vAlign w:val="center"/>
          </w:tcPr>
          <w:p w14:paraId="62C64C5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w:t>
            </w:r>
          </w:p>
        </w:tc>
        <w:tc>
          <w:tcPr>
            <w:tcW w:w="1033" w:type="pct"/>
            <w:vAlign w:val="center"/>
          </w:tcPr>
          <w:p w14:paraId="3A44AF1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128°37′36.43"</w:t>
            </w:r>
          </w:p>
        </w:tc>
        <w:tc>
          <w:tcPr>
            <w:tcW w:w="1075" w:type="pct"/>
            <w:vAlign w:val="center"/>
          </w:tcPr>
          <w:p w14:paraId="276DE8E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47°44′17.42"</w:t>
            </w:r>
          </w:p>
        </w:tc>
        <w:tc>
          <w:tcPr>
            <w:tcW w:w="391" w:type="pct"/>
            <w:vAlign w:val="center"/>
          </w:tcPr>
          <w:p w14:paraId="3932D4A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E18</w:t>
            </w:r>
          </w:p>
        </w:tc>
        <w:tc>
          <w:tcPr>
            <w:tcW w:w="1033" w:type="pct"/>
            <w:vAlign w:val="center"/>
          </w:tcPr>
          <w:p w14:paraId="652954E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128°34′37.19"</w:t>
            </w:r>
          </w:p>
        </w:tc>
        <w:tc>
          <w:tcPr>
            <w:tcW w:w="1077" w:type="pct"/>
            <w:vAlign w:val="center"/>
          </w:tcPr>
          <w:p w14:paraId="4C8C777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47°45′44.41"</w:t>
            </w:r>
          </w:p>
        </w:tc>
      </w:tr>
      <w:tr w14:paraId="1342F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89" w:type="pct"/>
            <w:vAlign w:val="center"/>
          </w:tcPr>
          <w:p w14:paraId="6D1CB85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E3</w:t>
            </w:r>
          </w:p>
        </w:tc>
        <w:tc>
          <w:tcPr>
            <w:tcW w:w="1033" w:type="pct"/>
            <w:vAlign w:val="center"/>
          </w:tcPr>
          <w:p w14:paraId="2D357F3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128°37′37.20"</w:t>
            </w:r>
          </w:p>
        </w:tc>
        <w:tc>
          <w:tcPr>
            <w:tcW w:w="1075" w:type="pct"/>
            <w:vAlign w:val="center"/>
          </w:tcPr>
          <w:p w14:paraId="4D8E945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47°43′8.61"</w:t>
            </w:r>
          </w:p>
        </w:tc>
        <w:tc>
          <w:tcPr>
            <w:tcW w:w="391" w:type="pct"/>
            <w:vAlign w:val="center"/>
          </w:tcPr>
          <w:p w14:paraId="0973E8B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E19</w:t>
            </w:r>
          </w:p>
        </w:tc>
        <w:tc>
          <w:tcPr>
            <w:tcW w:w="1033" w:type="pct"/>
            <w:vAlign w:val="center"/>
          </w:tcPr>
          <w:p w14:paraId="317B6D5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128°33′47.62"</w:t>
            </w:r>
          </w:p>
        </w:tc>
        <w:tc>
          <w:tcPr>
            <w:tcW w:w="1077" w:type="pct"/>
            <w:vAlign w:val="center"/>
          </w:tcPr>
          <w:p w14:paraId="1F3B8FD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47°46′24.70"</w:t>
            </w:r>
          </w:p>
        </w:tc>
      </w:tr>
      <w:tr w14:paraId="0BB98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389" w:type="pct"/>
            <w:vAlign w:val="center"/>
          </w:tcPr>
          <w:p w14:paraId="30395AA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E4</w:t>
            </w:r>
          </w:p>
        </w:tc>
        <w:tc>
          <w:tcPr>
            <w:tcW w:w="1033" w:type="pct"/>
            <w:vAlign w:val="center"/>
          </w:tcPr>
          <w:p w14:paraId="1D6F0AD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128°36′55.44"</w:t>
            </w:r>
          </w:p>
        </w:tc>
        <w:tc>
          <w:tcPr>
            <w:tcW w:w="1075" w:type="pct"/>
            <w:vAlign w:val="center"/>
          </w:tcPr>
          <w:p w14:paraId="28108D0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47°42′23.59"</w:t>
            </w:r>
          </w:p>
        </w:tc>
        <w:tc>
          <w:tcPr>
            <w:tcW w:w="391" w:type="pct"/>
            <w:vAlign w:val="center"/>
          </w:tcPr>
          <w:p w14:paraId="07F4A00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E20</w:t>
            </w:r>
          </w:p>
        </w:tc>
        <w:tc>
          <w:tcPr>
            <w:tcW w:w="1033" w:type="pct"/>
            <w:vAlign w:val="center"/>
          </w:tcPr>
          <w:p w14:paraId="4761D28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128°34′14.60"</w:t>
            </w:r>
          </w:p>
        </w:tc>
        <w:tc>
          <w:tcPr>
            <w:tcW w:w="1077" w:type="pct"/>
            <w:vAlign w:val="center"/>
          </w:tcPr>
          <w:p w14:paraId="242FAC9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47°47′22.95"</w:t>
            </w:r>
          </w:p>
        </w:tc>
      </w:tr>
      <w:tr w14:paraId="524A5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89" w:type="pct"/>
            <w:vAlign w:val="center"/>
          </w:tcPr>
          <w:p w14:paraId="48DFE24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E5</w:t>
            </w:r>
          </w:p>
        </w:tc>
        <w:tc>
          <w:tcPr>
            <w:tcW w:w="1033" w:type="pct"/>
            <w:vAlign w:val="center"/>
          </w:tcPr>
          <w:p w14:paraId="537FB42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128°37′26.03"</w:t>
            </w:r>
          </w:p>
        </w:tc>
        <w:tc>
          <w:tcPr>
            <w:tcW w:w="1075" w:type="pct"/>
            <w:vAlign w:val="center"/>
          </w:tcPr>
          <w:p w14:paraId="69984AA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47°41′34.53"</w:t>
            </w:r>
          </w:p>
        </w:tc>
        <w:tc>
          <w:tcPr>
            <w:tcW w:w="391" w:type="pct"/>
            <w:vAlign w:val="center"/>
          </w:tcPr>
          <w:p w14:paraId="1C4FD62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E21</w:t>
            </w:r>
          </w:p>
        </w:tc>
        <w:tc>
          <w:tcPr>
            <w:tcW w:w="1033" w:type="pct"/>
            <w:vAlign w:val="center"/>
          </w:tcPr>
          <w:p w14:paraId="4FE4244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128°35′22.47"</w:t>
            </w:r>
          </w:p>
        </w:tc>
        <w:tc>
          <w:tcPr>
            <w:tcW w:w="1077" w:type="pct"/>
            <w:vAlign w:val="center"/>
          </w:tcPr>
          <w:p w14:paraId="640122F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47°47′29.27"</w:t>
            </w:r>
          </w:p>
        </w:tc>
      </w:tr>
      <w:tr w14:paraId="605B0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389" w:type="pct"/>
            <w:vAlign w:val="center"/>
          </w:tcPr>
          <w:p w14:paraId="5ECE0F8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E6</w:t>
            </w:r>
          </w:p>
        </w:tc>
        <w:tc>
          <w:tcPr>
            <w:tcW w:w="1033" w:type="pct"/>
            <w:vAlign w:val="center"/>
          </w:tcPr>
          <w:p w14:paraId="7CD366D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128°38′28.02"</w:t>
            </w:r>
          </w:p>
        </w:tc>
        <w:tc>
          <w:tcPr>
            <w:tcW w:w="1075" w:type="pct"/>
            <w:vAlign w:val="center"/>
          </w:tcPr>
          <w:p w14:paraId="5D5D9B2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47°40′34.13"</w:t>
            </w:r>
          </w:p>
        </w:tc>
        <w:tc>
          <w:tcPr>
            <w:tcW w:w="391" w:type="pct"/>
            <w:vAlign w:val="center"/>
          </w:tcPr>
          <w:p w14:paraId="550424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E22</w:t>
            </w:r>
          </w:p>
        </w:tc>
        <w:tc>
          <w:tcPr>
            <w:tcW w:w="1033" w:type="pct"/>
            <w:vAlign w:val="center"/>
          </w:tcPr>
          <w:p w14:paraId="55E31BA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128°36′8.57"</w:t>
            </w:r>
          </w:p>
        </w:tc>
        <w:tc>
          <w:tcPr>
            <w:tcW w:w="1077" w:type="pct"/>
            <w:vAlign w:val="center"/>
          </w:tcPr>
          <w:p w14:paraId="2CA9BA5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47°47′42.72"</w:t>
            </w:r>
          </w:p>
        </w:tc>
      </w:tr>
      <w:tr w14:paraId="41D55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89" w:type="pct"/>
            <w:vAlign w:val="center"/>
          </w:tcPr>
          <w:p w14:paraId="0C56820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E7</w:t>
            </w:r>
          </w:p>
        </w:tc>
        <w:tc>
          <w:tcPr>
            <w:tcW w:w="1033" w:type="pct"/>
            <w:vAlign w:val="center"/>
          </w:tcPr>
          <w:p w14:paraId="1AF36A2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128°37′38.24"</w:t>
            </w:r>
          </w:p>
        </w:tc>
        <w:tc>
          <w:tcPr>
            <w:tcW w:w="1075" w:type="pct"/>
            <w:vAlign w:val="center"/>
          </w:tcPr>
          <w:p w14:paraId="0765668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47°39′58.84"</w:t>
            </w:r>
          </w:p>
        </w:tc>
        <w:tc>
          <w:tcPr>
            <w:tcW w:w="391" w:type="pct"/>
            <w:vAlign w:val="center"/>
          </w:tcPr>
          <w:p w14:paraId="149A2E6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E23</w:t>
            </w:r>
          </w:p>
        </w:tc>
        <w:tc>
          <w:tcPr>
            <w:tcW w:w="1033" w:type="pct"/>
            <w:vAlign w:val="center"/>
          </w:tcPr>
          <w:p w14:paraId="4041B34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128°37′2.43"</w:t>
            </w:r>
          </w:p>
        </w:tc>
        <w:tc>
          <w:tcPr>
            <w:tcW w:w="1077" w:type="pct"/>
            <w:vAlign w:val="center"/>
          </w:tcPr>
          <w:p w14:paraId="0FECB09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47°47′10.33"</w:t>
            </w:r>
          </w:p>
        </w:tc>
      </w:tr>
      <w:tr w14:paraId="6328F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389" w:type="pct"/>
            <w:vAlign w:val="center"/>
          </w:tcPr>
          <w:p w14:paraId="6514836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E8</w:t>
            </w:r>
          </w:p>
        </w:tc>
        <w:tc>
          <w:tcPr>
            <w:tcW w:w="1033" w:type="pct"/>
            <w:vAlign w:val="center"/>
          </w:tcPr>
          <w:p w14:paraId="57F141D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128°35′48.16"</w:t>
            </w:r>
          </w:p>
        </w:tc>
        <w:tc>
          <w:tcPr>
            <w:tcW w:w="1075" w:type="pct"/>
            <w:vAlign w:val="center"/>
          </w:tcPr>
          <w:p w14:paraId="14DB172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47°39′59.58"</w:t>
            </w:r>
          </w:p>
        </w:tc>
        <w:tc>
          <w:tcPr>
            <w:tcW w:w="391" w:type="pct"/>
            <w:vAlign w:val="center"/>
          </w:tcPr>
          <w:p w14:paraId="4387F2A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E24</w:t>
            </w:r>
          </w:p>
        </w:tc>
        <w:tc>
          <w:tcPr>
            <w:tcW w:w="1033" w:type="pct"/>
            <w:vAlign w:val="center"/>
          </w:tcPr>
          <w:p w14:paraId="4840418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128°36′41.45"</w:t>
            </w:r>
          </w:p>
        </w:tc>
        <w:tc>
          <w:tcPr>
            <w:tcW w:w="1077" w:type="pct"/>
            <w:vAlign w:val="center"/>
          </w:tcPr>
          <w:p w14:paraId="34F309A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47°46′43.17"</w:t>
            </w:r>
          </w:p>
        </w:tc>
      </w:tr>
      <w:tr w14:paraId="4B8A0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89" w:type="pct"/>
            <w:vAlign w:val="center"/>
          </w:tcPr>
          <w:p w14:paraId="2B4F15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E9</w:t>
            </w:r>
          </w:p>
        </w:tc>
        <w:tc>
          <w:tcPr>
            <w:tcW w:w="1033" w:type="pct"/>
            <w:vAlign w:val="center"/>
          </w:tcPr>
          <w:p w14:paraId="64595FD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128°33′30.68"</w:t>
            </w:r>
          </w:p>
        </w:tc>
        <w:tc>
          <w:tcPr>
            <w:tcW w:w="1075" w:type="pct"/>
            <w:vAlign w:val="center"/>
          </w:tcPr>
          <w:p w14:paraId="27D8A03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47°40′4.50"</w:t>
            </w:r>
          </w:p>
        </w:tc>
        <w:tc>
          <w:tcPr>
            <w:tcW w:w="391" w:type="pct"/>
            <w:vAlign w:val="center"/>
          </w:tcPr>
          <w:p w14:paraId="093E18B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E25</w:t>
            </w:r>
          </w:p>
        </w:tc>
        <w:tc>
          <w:tcPr>
            <w:tcW w:w="1033" w:type="pct"/>
            <w:vAlign w:val="center"/>
          </w:tcPr>
          <w:p w14:paraId="06F2A43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128°36′49.76"</w:t>
            </w:r>
          </w:p>
        </w:tc>
        <w:tc>
          <w:tcPr>
            <w:tcW w:w="1077" w:type="pct"/>
            <w:vAlign w:val="center"/>
          </w:tcPr>
          <w:p w14:paraId="2DD40F8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47°46′29.50"</w:t>
            </w:r>
          </w:p>
        </w:tc>
      </w:tr>
      <w:tr w14:paraId="3989F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89" w:type="pct"/>
            <w:vAlign w:val="center"/>
          </w:tcPr>
          <w:p w14:paraId="2D52A61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E10</w:t>
            </w:r>
          </w:p>
        </w:tc>
        <w:tc>
          <w:tcPr>
            <w:tcW w:w="1033" w:type="pct"/>
            <w:vAlign w:val="center"/>
          </w:tcPr>
          <w:p w14:paraId="578E997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128°33′43.20"</w:t>
            </w:r>
          </w:p>
        </w:tc>
        <w:tc>
          <w:tcPr>
            <w:tcW w:w="1075" w:type="pct"/>
            <w:vAlign w:val="center"/>
          </w:tcPr>
          <w:p w14:paraId="3550C4C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47°40′54.45"</w:t>
            </w:r>
          </w:p>
        </w:tc>
        <w:tc>
          <w:tcPr>
            <w:tcW w:w="391" w:type="pct"/>
            <w:vAlign w:val="center"/>
          </w:tcPr>
          <w:p w14:paraId="75E0526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E26</w:t>
            </w:r>
          </w:p>
        </w:tc>
        <w:tc>
          <w:tcPr>
            <w:tcW w:w="1033" w:type="pct"/>
            <w:vAlign w:val="center"/>
          </w:tcPr>
          <w:p w14:paraId="48942E4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128°37′14.91"</w:t>
            </w:r>
          </w:p>
        </w:tc>
        <w:tc>
          <w:tcPr>
            <w:tcW w:w="1077" w:type="pct"/>
            <w:vAlign w:val="center"/>
          </w:tcPr>
          <w:p w14:paraId="277C1DC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47°46′19.10"</w:t>
            </w:r>
          </w:p>
        </w:tc>
      </w:tr>
      <w:tr w14:paraId="7EE20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389" w:type="pct"/>
            <w:vAlign w:val="center"/>
          </w:tcPr>
          <w:p w14:paraId="4CE5A16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E11</w:t>
            </w:r>
          </w:p>
        </w:tc>
        <w:tc>
          <w:tcPr>
            <w:tcW w:w="1033" w:type="pct"/>
            <w:vAlign w:val="center"/>
          </w:tcPr>
          <w:p w14:paraId="6D37880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128°33′6.51"</w:t>
            </w:r>
          </w:p>
        </w:tc>
        <w:tc>
          <w:tcPr>
            <w:tcW w:w="1075" w:type="pct"/>
            <w:vAlign w:val="center"/>
          </w:tcPr>
          <w:p w14:paraId="1415709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47°41′57.15"</w:t>
            </w:r>
          </w:p>
        </w:tc>
        <w:tc>
          <w:tcPr>
            <w:tcW w:w="391" w:type="pct"/>
            <w:vAlign w:val="center"/>
          </w:tcPr>
          <w:p w14:paraId="0E4F0FF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E27</w:t>
            </w:r>
          </w:p>
        </w:tc>
        <w:tc>
          <w:tcPr>
            <w:tcW w:w="1033" w:type="pct"/>
            <w:vAlign w:val="center"/>
          </w:tcPr>
          <w:p w14:paraId="2EA9788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128°37′14.61"</w:t>
            </w:r>
          </w:p>
        </w:tc>
        <w:tc>
          <w:tcPr>
            <w:tcW w:w="1077" w:type="pct"/>
            <w:vAlign w:val="center"/>
          </w:tcPr>
          <w:p w14:paraId="1BAEFC0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47°45′59.86"</w:t>
            </w:r>
          </w:p>
        </w:tc>
      </w:tr>
      <w:tr w14:paraId="0C9FF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89" w:type="pct"/>
            <w:vAlign w:val="center"/>
          </w:tcPr>
          <w:p w14:paraId="57FF41F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E12</w:t>
            </w:r>
          </w:p>
        </w:tc>
        <w:tc>
          <w:tcPr>
            <w:tcW w:w="1033" w:type="pct"/>
            <w:vAlign w:val="center"/>
          </w:tcPr>
          <w:p w14:paraId="5D09481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128°32′30.16"</w:t>
            </w:r>
          </w:p>
        </w:tc>
        <w:tc>
          <w:tcPr>
            <w:tcW w:w="1075" w:type="pct"/>
            <w:vAlign w:val="center"/>
          </w:tcPr>
          <w:p w14:paraId="2CEB4C7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47°42′12.73"</w:t>
            </w:r>
          </w:p>
        </w:tc>
        <w:tc>
          <w:tcPr>
            <w:tcW w:w="391" w:type="pct"/>
            <w:vAlign w:val="center"/>
          </w:tcPr>
          <w:p w14:paraId="2C196EC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E28</w:t>
            </w:r>
          </w:p>
        </w:tc>
        <w:tc>
          <w:tcPr>
            <w:tcW w:w="1033" w:type="pct"/>
            <w:vAlign w:val="center"/>
          </w:tcPr>
          <w:p w14:paraId="133EC09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128°37′34.15"</w:t>
            </w:r>
          </w:p>
        </w:tc>
        <w:tc>
          <w:tcPr>
            <w:tcW w:w="1077" w:type="pct"/>
            <w:vAlign w:val="center"/>
          </w:tcPr>
          <w:p w14:paraId="7D0C453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47°45′47.76"</w:t>
            </w:r>
          </w:p>
        </w:tc>
      </w:tr>
      <w:tr w14:paraId="571C8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389" w:type="pct"/>
            <w:vAlign w:val="center"/>
          </w:tcPr>
          <w:p w14:paraId="6F39B42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E13</w:t>
            </w:r>
          </w:p>
        </w:tc>
        <w:tc>
          <w:tcPr>
            <w:tcW w:w="1033" w:type="pct"/>
            <w:vAlign w:val="center"/>
          </w:tcPr>
          <w:p w14:paraId="0DE0C12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128°33′14.89"</w:t>
            </w:r>
          </w:p>
        </w:tc>
        <w:tc>
          <w:tcPr>
            <w:tcW w:w="1075" w:type="pct"/>
            <w:vAlign w:val="center"/>
          </w:tcPr>
          <w:p w14:paraId="0174BD3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47°42′40.38"</w:t>
            </w:r>
          </w:p>
        </w:tc>
        <w:tc>
          <w:tcPr>
            <w:tcW w:w="391" w:type="pct"/>
            <w:vAlign w:val="center"/>
          </w:tcPr>
          <w:p w14:paraId="3EF025E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E29</w:t>
            </w:r>
          </w:p>
        </w:tc>
        <w:tc>
          <w:tcPr>
            <w:tcW w:w="1033" w:type="pct"/>
            <w:vAlign w:val="center"/>
          </w:tcPr>
          <w:p w14:paraId="1F804A3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128°37′36.03"</w:t>
            </w:r>
          </w:p>
        </w:tc>
        <w:tc>
          <w:tcPr>
            <w:tcW w:w="1077" w:type="pct"/>
            <w:vAlign w:val="center"/>
          </w:tcPr>
          <w:p w14:paraId="15B6436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47°45′16.73"</w:t>
            </w:r>
          </w:p>
        </w:tc>
      </w:tr>
      <w:tr w14:paraId="75C97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89" w:type="pct"/>
            <w:vAlign w:val="center"/>
          </w:tcPr>
          <w:p w14:paraId="04A00A8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E14</w:t>
            </w:r>
          </w:p>
        </w:tc>
        <w:tc>
          <w:tcPr>
            <w:tcW w:w="1033" w:type="pct"/>
            <w:vAlign w:val="center"/>
          </w:tcPr>
          <w:p w14:paraId="633BB6B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128°34′0.43"</w:t>
            </w:r>
          </w:p>
        </w:tc>
        <w:tc>
          <w:tcPr>
            <w:tcW w:w="1075" w:type="pct"/>
            <w:vAlign w:val="center"/>
          </w:tcPr>
          <w:p w14:paraId="5278E91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47°42′59.03"</w:t>
            </w:r>
          </w:p>
        </w:tc>
        <w:tc>
          <w:tcPr>
            <w:tcW w:w="391" w:type="pct"/>
            <w:vAlign w:val="center"/>
          </w:tcPr>
          <w:p w14:paraId="10D2C29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E30</w:t>
            </w:r>
          </w:p>
        </w:tc>
        <w:tc>
          <w:tcPr>
            <w:tcW w:w="1033" w:type="pct"/>
            <w:vAlign w:val="center"/>
          </w:tcPr>
          <w:p w14:paraId="18AB0E9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128°37′27.69"</w:t>
            </w:r>
          </w:p>
        </w:tc>
        <w:tc>
          <w:tcPr>
            <w:tcW w:w="1077" w:type="pct"/>
            <w:vAlign w:val="center"/>
          </w:tcPr>
          <w:p w14:paraId="125E282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47°45′5.43"</w:t>
            </w:r>
          </w:p>
        </w:tc>
      </w:tr>
      <w:tr w14:paraId="10EE9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89" w:type="pct"/>
            <w:vAlign w:val="center"/>
          </w:tcPr>
          <w:p w14:paraId="2254E73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E15</w:t>
            </w:r>
          </w:p>
        </w:tc>
        <w:tc>
          <w:tcPr>
            <w:tcW w:w="1033" w:type="pct"/>
            <w:vAlign w:val="center"/>
          </w:tcPr>
          <w:p w14:paraId="39D8FA5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128°33′56.92"</w:t>
            </w:r>
          </w:p>
        </w:tc>
        <w:tc>
          <w:tcPr>
            <w:tcW w:w="1075" w:type="pct"/>
            <w:vAlign w:val="center"/>
          </w:tcPr>
          <w:p w14:paraId="13D5729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47°44′1.25"</w:t>
            </w:r>
          </w:p>
        </w:tc>
        <w:tc>
          <w:tcPr>
            <w:tcW w:w="391" w:type="pct"/>
            <w:vAlign w:val="center"/>
          </w:tcPr>
          <w:p w14:paraId="40CA63A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E31</w:t>
            </w:r>
          </w:p>
        </w:tc>
        <w:tc>
          <w:tcPr>
            <w:tcW w:w="1033" w:type="pct"/>
            <w:vAlign w:val="center"/>
          </w:tcPr>
          <w:p w14:paraId="3E81F41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128°38′13.26"</w:t>
            </w:r>
          </w:p>
        </w:tc>
        <w:tc>
          <w:tcPr>
            <w:tcW w:w="1077" w:type="pct"/>
            <w:vAlign w:val="center"/>
          </w:tcPr>
          <w:p w14:paraId="6D072FB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47°40′51.61"</w:t>
            </w:r>
          </w:p>
        </w:tc>
      </w:tr>
      <w:tr w14:paraId="2A9039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389" w:type="pct"/>
            <w:vAlign w:val="center"/>
          </w:tcPr>
          <w:p w14:paraId="71F57F7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E16</w:t>
            </w:r>
          </w:p>
        </w:tc>
        <w:tc>
          <w:tcPr>
            <w:tcW w:w="1033" w:type="pct"/>
            <w:vAlign w:val="center"/>
          </w:tcPr>
          <w:p w14:paraId="004BE38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128°34′8.30"</w:t>
            </w:r>
          </w:p>
        </w:tc>
        <w:tc>
          <w:tcPr>
            <w:tcW w:w="1075" w:type="pct"/>
            <w:vAlign w:val="center"/>
          </w:tcPr>
          <w:p w14:paraId="46E81E1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47°44′43.10"</w:t>
            </w:r>
          </w:p>
        </w:tc>
        <w:tc>
          <w:tcPr>
            <w:tcW w:w="391" w:type="pct"/>
            <w:vAlign w:val="center"/>
          </w:tcPr>
          <w:p w14:paraId="2583CB5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1033" w:type="pct"/>
            <w:vAlign w:val="center"/>
          </w:tcPr>
          <w:p w14:paraId="6241C17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1077" w:type="pct"/>
            <w:vAlign w:val="center"/>
          </w:tcPr>
          <w:p w14:paraId="37A3410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bl>
    <w:p w14:paraId="768896EB">
      <w:pPr>
        <w:pStyle w:val="3"/>
        <w:keepNext w:val="0"/>
        <w:keepLines w:val="0"/>
        <w:pageBreakBefore w:val="0"/>
        <w:widowControl/>
        <w:kinsoku/>
        <w:wordWrap/>
        <w:overflowPunct/>
        <w:topLinePunct w:val="0"/>
        <w:autoSpaceDE w:val="0"/>
        <w:autoSpaceDN w:val="0"/>
        <w:bidi w:val="0"/>
        <w:adjustRightInd w:val="0"/>
        <w:snapToGrid w:val="0"/>
        <w:spacing w:line="144" w:lineRule="exact"/>
        <w:rPr>
          <w:color w:val="auto"/>
          <w:spacing w:val="0"/>
          <w:w w:val="100"/>
          <w:position w:val="0"/>
          <w:sz w:val="12"/>
          <w:highlight w:val="none"/>
        </w:rPr>
      </w:pPr>
    </w:p>
    <w:p w14:paraId="0950C966">
      <w:pPr>
        <w:keepNext w:val="0"/>
        <w:keepLines w:val="0"/>
        <w:pageBreakBefore w:val="0"/>
        <w:widowControl/>
        <w:kinsoku/>
        <w:wordWrap/>
        <w:overflowPunct/>
        <w:topLinePunct w:val="0"/>
        <w:autoSpaceDE w:val="0"/>
        <w:autoSpaceDN w:val="0"/>
        <w:bidi w:val="0"/>
        <w:adjustRightInd w:val="0"/>
        <w:snapToGrid w:val="0"/>
        <w:spacing w:before="78" w:line="217" w:lineRule="auto"/>
        <w:ind w:left="2802"/>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3-4西山水库水源准保护区拐点坐标表</w:t>
      </w:r>
    </w:p>
    <w:p w14:paraId="42A80C70">
      <w:pPr>
        <w:keepNext w:val="0"/>
        <w:keepLines w:val="0"/>
        <w:pageBreakBefore w:val="0"/>
        <w:widowControl/>
        <w:kinsoku/>
        <w:wordWrap/>
        <w:overflowPunct/>
        <w:topLinePunct w:val="0"/>
        <w:autoSpaceDE w:val="0"/>
        <w:autoSpaceDN w:val="0"/>
        <w:bidi w:val="0"/>
        <w:adjustRightInd w:val="0"/>
        <w:snapToGrid w:val="0"/>
        <w:spacing w:line="34" w:lineRule="exact"/>
        <w:rPr>
          <w:color w:val="auto"/>
          <w:spacing w:val="0"/>
          <w:w w:val="100"/>
          <w:position w:val="0"/>
          <w:highlight w:val="none"/>
        </w:rPr>
      </w:pPr>
    </w:p>
    <w:tbl>
      <w:tblPr>
        <w:tblStyle w:val="1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40"/>
        <w:gridCol w:w="1687"/>
        <w:gridCol w:w="1559"/>
        <w:gridCol w:w="777"/>
        <w:gridCol w:w="1689"/>
        <w:gridCol w:w="1563"/>
      </w:tblGrid>
      <w:tr w14:paraId="7AF67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625" w:type="pct"/>
            <w:vMerge w:val="restart"/>
            <w:tcBorders>
              <w:bottom w:val="nil"/>
            </w:tcBorders>
            <w:vAlign w:val="center"/>
          </w:tcPr>
          <w:p w14:paraId="0E93FD3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标注名</w:t>
            </w:r>
          </w:p>
        </w:tc>
        <w:tc>
          <w:tcPr>
            <w:tcW w:w="1951" w:type="pct"/>
            <w:gridSpan w:val="2"/>
            <w:vAlign w:val="center"/>
          </w:tcPr>
          <w:p w14:paraId="0ECD629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坐标</w:t>
            </w:r>
          </w:p>
        </w:tc>
        <w:tc>
          <w:tcPr>
            <w:tcW w:w="467" w:type="pct"/>
            <w:vMerge w:val="restart"/>
            <w:tcBorders>
              <w:bottom w:val="nil"/>
            </w:tcBorders>
            <w:vAlign w:val="center"/>
          </w:tcPr>
          <w:p w14:paraId="50A7A2A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标注名</w:t>
            </w:r>
          </w:p>
        </w:tc>
        <w:tc>
          <w:tcPr>
            <w:tcW w:w="1954" w:type="pct"/>
            <w:gridSpan w:val="2"/>
            <w:vAlign w:val="center"/>
          </w:tcPr>
          <w:p w14:paraId="6174273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坐标</w:t>
            </w:r>
          </w:p>
        </w:tc>
      </w:tr>
      <w:tr w14:paraId="2D144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625" w:type="pct"/>
            <w:vMerge w:val="continue"/>
            <w:tcBorders>
              <w:top w:val="nil"/>
            </w:tcBorders>
            <w:vAlign w:val="center"/>
          </w:tcPr>
          <w:p w14:paraId="7782A83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1014" w:type="pct"/>
            <w:vAlign w:val="center"/>
          </w:tcPr>
          <w:p w14:paraId="0A02440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经度</w:t>
            </w:r>
          </w:p>
        </w:tc>
        <w:tc>
          <w:tcPr>
            <w:tcW w:w="937" w:type="pct"/>
            <w:vAlign w:val="center"/>
          </w:tcPr>
          <w:p w14:paraId="0F18A28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纬度</w:t>
            </w:r>
          </w:p>
        </w:tc>
        <w:tc>
          <w:tcPr>
            <w:tcW w:w="467" w:type="pct"/>
            <w:vMerge w:val="continue"/>
            <w:tcBorders>
              <w:top w:val="nil"/>
            </w:tcBorders>
            <w:vAlign w:val="center"/>
          </w:tcPr>
          <w:p w14:paraId="12B89D8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1015" w:type="pct"/>
            <w:vAlign w:val="center"/>
          </w:tcPr>
          <w:p w14:paraId="72462DC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经度</w:t>
            </w:r>
          </w:p>
        </w:tc>
        <w:tc>
          <w:tcPr>
            <w:tcW w:w="939" w:type="pct"/>
            <w:vAlign w:val="center"/>
          </w:tcPr>
          <w:p w14:paraId="202BA10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纬度</w:t>
            </w:r>
          </w:p>
        </w:tc>
      </w:tr>
      <w:tr w14:paraId="42081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625" w:type="pct"/>
            <w:vAlign w:val="center"/>
          </w:tcPr>
          <w:p w14:paraId="5967D44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w:t>
            </w:r>
          </w:p>
        </w:tc>
        <w:tc>
          <w:tcPr>
            <w:tcW w:w="1014" w:type="pct"/>
            <w:vAlign w:val="center"/>
          </w:tcPr>
          <w:p w14:paraId="559585D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128°39′44.55"</w:t>
            </w:r>
          </w:p>
        </w:tc>
        <w:tc>
          <w:tcPr>
            <w:tcW w:w="937" w:type="pct"/>
            <w:vAlign w:val="center"/>
          </w:tcPr>
          <w:p w14:paraId="28A1084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47°39′43.25"</w:t>
            </w:r>
          </w:p>
        </w:tc>
        <w:tc>
          <w:tcPr>
            <w:tcW w:w="467" w:type="pct"/>
            <w:vAlign w:val="center"/>
          </w:tcPr>
          <w:p w14:paraId="43F4078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Z15</w:t>
            </w:r>
          </w:p>
        </w:tc>
        <w:tc>
          <w:tcPr>
            <w:tcW w:w="1015" w:type="pct"/>
            <w:vAlign w:val="center"/>
          </w:tcPr>
          <w:p w14:paraId="341E7C8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128°28′29.03"</w:t>
            </w:r>
          </w:p>
        </w:tc>
        <w:tc>
          <w:tcPr>
            <w:tcW w:w="939" w:type="pct"/>
            <w:vAlign w:val="center"/>
          </w:tcPr>
          <w:p w14:paraId="52D8E8F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47°45′23.64"</w:t>
            </w:r>
          </w:p>
        </w:tc>
      </w:tr>
      <w:tr w14:paraId="25407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25" w:type="pct"/>
            <w:vAlign w:val="center"/>
          </w:tcPr>
          <w:p w14:paraId="3C845C6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w:t>
            </w:r>
          </w:p>
        </w:tc>
        <w:tc>
          <w:tcPr>
            <w:tcW w:w="1014" w:type="pct"/>
            <w:vAlign w:val="center"/>
          </w:tcPr>
          <w:p w14:paraId="45879B1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128°40′39.40"</w:t>
            </w:r>
          </w:p>
        </w:tc>
        <w:tc>
          <w:tcPr>
            <w:tcW w:w="937" w:type="pct"/>
            <w:vAlign w:val="center"/>
          </w:tcPr>
          <w:p w14:paraId="50BF2FF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47°39′8.08"</w:t>
            </w:r>
          </w:p>
        </w:tc>
        <w:tc>
          <w:tcPr>
            <w:tcW w:w="467" w:type="pct"/>
            <w:vAlign w:val="center"/>
          </w:tcPr>
          <w:p w14:paraId="06FD407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Z16</w:t>
            </w:r>
          </w:p>
        </w:tc>
        <w:tc>
          <w:tcPr>
            <w:tcW w:w="1015" w:type="pct"/>
            <w:vAlign w:val="center"/>
          </w:tcPr>
          <w:p w14:paraId="7C2E52C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128°29′39.42"</w:t>
            </w:r>
          </w:p>
        </w:tc>
        <w:tc>
          <w:tcPr>
            <w:tcW w:w="939" w:type="pct"/>
            <w:vAlign w:val="center"/>
          </w:tcPr>
          <w:p w14:paraId="4013450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47°46′58.39"</w:t>
            </w:r>
          </w:p>
        </w:tc>
      </w:tr>
      <w:tr w14:paraId="35758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625" w:type="pct"/>
            <w:vAlign w:val="center"/>
          </w:tcPr>
          <w:p w14:paraId="6CFDD12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Z3</w:t>
            </w:r>
          </w:p>
        </w:tc>
        <w:tc>
          <w:tcPr>
            <w:tcW w:w="1014" w:type="pct"/>
            <w:vAlign w:val="center"/>
          </w:tcPr>
          <w:p w14:paraId="502C2EB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128°39′0.18"</w:t>
            </w:r>
          </w:p>
        </w:tc>
        <w:tc>
          <w:tcPr>
            <w:tcW w:w="937" w:type="pct"/>
            <w:vAlign w:val="center"/>
          </w:tcPr>
          <w:p w14:paraId="15A662D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47°38′52.37"</w:t>
            </w:r>
          </w:p>
        </w:tc>
        <w:tc>
          <w:tcPr>
            <w:tcW w:w="467" w:type="pct"/>
            <w:vAlign w:val="center"/>
          </w:tcPr>
          <w:p w14:paraId="42992A3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Z17</w:t>
            </w:r>
          </w:p>
        </w:tc>
        <w:tc>
          <w:tcPr>
            <w:tcW w:w="1015" w:type="pct"/>
            <w:vAlign w:val="center"/>
          </w:tcPr>
          <w:p w14:paraId="2213F35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128°28′22.80"</w:t>
            </w:r>
          </w:p>
        </w:tc>
        <w:tc>
          <w:tcPr>
            <w:tcW w:w="939" w:type="pct"/>
            <w:vAlign w:val="center"/>
          </w:tcPr>
          <w:p w14:paraId="515FAC5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47°47′29.51"</w:t>
            </w:r>
          </w:p>
        </w:tc>
      </w:tr>
      <w:tr w14:paraId="749E3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25" w:type="pct"/>
            <w:vAlign w:val="center"/>
          </w:tcPr>
          <w:p w14:paraId="5A58D13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Z4</w:t>
            </w:r>
          </w:p>
        </w:tc>
        <w:tc>
          <w:tcPr>
            <w:tcW w:w="1014" w:type="pct"/>
            <w:vAlign w:val="center"/>
          </w:tcPr>
          <w:p w14:paraId="6E95EA1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128°36′28.09"</w:t>
            </w:r>
          </w:p>
        </w:tc>
        <w:tc>
          <w:tcPr>
            <w:tcW w:w="937" w:type="pct"/>
            <w:vAlign w:val="center"/>
          </w:tcPr>
          <w:p w14:paraId="52E0185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47°38′22.68"</w:t>
            </w:r>
          </w:p>
        </w:tc>
        <w:tc>
          <w:tcPr>
            <w:tcW w:w="467" w:type="pct"/>
            <w:vAlign w:val="center"/>
          </w:tcPr>
          <w:p w14:paraId="5B7F807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Z18</w:t>
            </w:r>
          </w:p>
        </w:tc>
        <w:tc>
          <w:tcPr>
            <w:tcW w:w="1015" w:type="pct"/>
            <w:vAlign w:val="center"/>
          </w:tcPr>
          <w:p w14:paraId="541DA5E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128°27′58.22"</w:t>
            </w:r>
          </w:p>
        </w:tc>
        <w:tc>
          <w:tcPr>
            <w:tcW w:w="939" w:type="pct"/>
            <w:vAlign w:val="center"/>
          </w:tcPr>
          <w:p w14:paraId="11D9EEE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47°44′36.96"</w:t>
            </w:r>
          </w:p>
        </w:tc>
      </w:tr>
      <w:tr w14:paraId="296A3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625" w:type="pct"/>
            <w:vAlign w:val="center"/>
          </w:tcPr>
          <w:p w14:paraId="13FA498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Z5</w:t>
            </w:r>
          </w:p>
        </w:tc>
        <w:tc>
          <w:tcPr>
            <w:tcW w:w="1014" w:type="pct"/>
            <w:vAlign w:val="center"/>
          </w:tcPr>
          <w:p w14:paraId="0D23E93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128°36′52.00"</w:t>
            </w:r>
          </w:p>
        </w:tc>
        <w:tc>
          <w:tcPr>
            <w:tcW w:w="937" w:type="pct"/>
            <w:vAlign w:val="center"/>
          </w:tcPr>
          <w:p w14:paraId="08ED1FD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47°36′12.97"</w:t>
            </w:r>
          </w:p>
        </w:tc>
        <w:tc>
          <w:tcPr>
            <w:tcW w:w="467" w:type="pct"/>
            <w:vAlign w:val="center"/>
          </w:tcPr>
          <w:p w14:paraId="01444AC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Z19</w:t>
            </w:r>
          </w:p>
        </w:tc>
        <w:tc>
          <w:tcPr>
            <w:tcW w:w="1015" w:type="pct"/>
            <w:vAlign w:val="center"/>
          </w:tcPr>
          <w:p w14:paraId="025B9CA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128°28′24.99"</w:t>
            </w:r>
          </w:p>
        </w:tc>
        <w:tc>
          <w:tcPr>
            <w:tcW w:w="939" w:type="pct"/>
            <w:vAlign w:val="center"/>
          </w:tcPr>
          <w:p w14:paraId="674F793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47°49′24.55"</w:t>
            </w:r>
          </w:p>
        </w:tc>
      </w:tr>
      <w:tr w14:paraId="53998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25" w:type="pct"/>
            <w:vAlign w:val="center"/>
          </w:tcPr>
          <w:p w14:paraId="0327E25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Z6</w:t>
            </w:r>
          </w:p>
        </w:tc>
        <w:tc>
          <w:tcPr>
            <w:tcW w:w="1014" w:type="pct"/>
            <w:vAlign w:val="center"/>
          </w:tcPr>
          <w:p w14:paraId="63C9EBC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128°35′33.61"</w:t>
            </w:r>
          </w:p>
        </w:tc>
        <w:tc>
          <w:tcPr>
            <w:tcW w:w="937" w:type="pct"/>
            <w:vAlign w:val="center"/>
          </w:tcPr>
          <w:p w14:paraId="17C406D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47°35′38.05"</w:t>
            </w:r>
          </w:p>
        </w:tc>
        <w:tc>
          <w:tcPr>
            <w:tcW w:w="467" w:type="pct"/>
            <w:vAlign w:val="center"/>
          </w:tcPr>
          <w:p w14:paraId="100CE0D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Z20</w:t>
            </w:r>
          </w:p>
        </w:tc>
        <w:tc>
          <w:tcPr>
            <w:tcW w:w="1015" w:type="pct"/>
            <w:vAlign w:val="center"/>
          </w:tcPr>
          <w:p w14:paraId="42640C7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128°28′11.60"</w:t>
            </w:r>
          </w:p>
        </w:tc>
        <w:tc>
          <w:tcPr>
            <w:tcW w:w="939" w:type="pct"/>
            <w:vAlign w:val="center"/>
          </w:tcPr>
          <w:p w14:paraId="1F0D6AE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47°51′14.98"</w:t>
            </w:r>
          </w:p>
        </w:tc>
      </w:tr>
      <w:tr w14:paraId="670A4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625" w:type="pct"/>
            <w:vAlign w:val="center"/>
          </w:tcPr>
          <w:p w14:paraId="4177D73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Z7</w:t>
            </w:r>
          </w:p>
        </w:tc>
        <w:tc>
          <w:tcPr>
            <w:tcW w:w="1014" w:type="pct"/>
            <w:vAlign w:val="center"/>
          </w:tcPr>
          <w:p w14:paraId="5BADD94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128°31′58.98"</w:t>
            </w:r>
          </w:p>
        </w:tc>
        <w:tc>
          <w:tcPr>
            <w:tcW w:w="937" w:type="pct"/>
            <w:vAlign w:val="center"/>
          </w:tcPr>
          <w:p w14:paraId="03F11A3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47°37′24.88"</w:t>
            </w:r>
          </w:p>
        </w:tc>
        <w:tc>
          <w:tcPr>
            <w:tcW w:w="467" w:type="pct"/>
            <w:vAlign w:val="center"/>
          </w:tcPr>
          <w:p w14:paraId="61631A2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Z21</w:t>
            </w:r>
          </w:p>
        </w:tc>
        <w:tc>
          <w:tcPr>
            <w:tcW w:w="1015" w:type="pct"/>
            <w:vAlign w:val="center"/>
          </w:tcPr>
          <w:p w14:paraId="6FD10C4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128°32′31.32"</w:t>
            </w:r>
          </w:p>
        </w:tc>
        <w:tc>
          <w:tcPr>
            <w:tcW w:w="939" w:type="pct"/>
            <w:vAlign w:val="center"/>
          </w:tcPr>
          <w:p w14:paraId="55EE075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47°53′0.70"</w:t>
            </w:r>
          </w:p>
        </w:tc>
      </w:tr>
      <w:tr w14:paraId="79F3D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625" w:type="pct"/>
            <w:vAlign w:val="center"/>
          </w:tcPr>
          <w:p w14:paraId="74725E2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Z8</w:t>
            </w:r>
          </w:p>
        </w:tc>
        <w:tc>
          <w:tcPr>
            <w:tcW w:w="1014" w:type="pct"/>
            <w:vAlign w:val="center"/>
          </w:tcPr>
          <w:p w14:paraId="3E6AECE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128°29′58.71"</w:t>
            </w:r>
          </w:p>
        </w:tc>
        <w:tc>
          <w:tcPr>
            <w:tcW w:w="937" w:type="pct"/>
            <w:vAlign w:val="center"/>
          </w:tcPr>
          <w:p w14:paraId="1AAD9E6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47°38′25.16"</w:t>
            </w:r>
          </w:p>
        </w:tc>
        <w:tc>
          <w:tcPr>
            <w:tcW w:w="467" w:type="pct"/>
            <w:vAlign w:val="center"/>
          </w:tcPr>
          <w:p w14:paraId="2CF19FE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Z22</w:t>
            </w:r>
          </w:p>
        </w:tc>
        <w:tc>
          <w:tcPr>
            <w:tcW w:w="1015" w:type="pct"/>
            <w:vAlign w:val="center"/>
          </w:tcPr>
          <w:p w14:paraId="00011C8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128°34′32.25"</w:t>
            </w:r>
          </w:p>
        </w:tc>
        <w:tc>
          <w:tcPr>
            <w:tcW w:w="939" w:type="pct"/>
            <w:vAlign w:val="center"/>
          </w:tcPr>
          <w:p w14:paraId="727B1B8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47°52′49.81"</w:t>
            </w:r>
          </w:p>
        </w:tc>
      </w:tr>
      <w:tr w14:paraId="4C617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25" w:type="pct"/>
            <w:vAlign w:val="center"/>
          </w:tcPr>
          <w:p w14:paraId="5853AD6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Z9</w:t>
            </w:r>
          </w:p>
        </w:tc>
        <w:tc>
          <w:tcPr>
            <w:tcW w:w="1014" w:type="pct"/>
            <w:vAlign w:val="center"/>
          </w:tcPr>
          <w:p w14:paraId="4BBAF23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128°30′43.41"</w:t>
            </w:r>
          </w:p>
        </w:tc>
        <w:tc>
          <w:tcPr>
            <w:tcW w:w="937" w:type="pct"/>
            <w:vAlign w:val="center"/>
          </w:tcPr>
          <w:p w14:paraId="2B7C78B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47°38′52.55"</w:t>
            </w:r>
          </w:p>
        </w:tc>
        <w:tc>
          <w:tcPr>
            <w:tcW w:w="467" w:type="pct"/>
            <w:vAlign w:val="center"/>
          </w:tcPr>
          <w:p w14:paraId="67A4EB3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Z23</w:t>
            </w:r>
          </w:p>
        </w:tc>
        <w:tc>
          <w:tcPr>
            <w:tcW w:w="1015" w:type="pct"/>
            <w:vAlign w:val="center"/>
          </w:tcPr>
          <w:p w14:paraId="0DC5C97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128°35′9.30"</w:t>
            </w:r>
          </w:p>
        </w:tc>
        <w:tc>
          <w:tcPr>
            <w:tcW w:w="939" w:type="pct"/>
            <w:vAlign w:val="center"/>
          </w:tcPr>
          <w:p w14:paraId="23F019F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47°51′56.46"</w:t>
            </w:r>
          </w:p>
        </w:tc>
      </w:tr>
      <w:tr w14:paraId="0D596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625" w:type="pct"/>
            <w:vAlign w:val="center"/>
          </w:tcPr>
          <w:p w14:paraId="69EE249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Z10</w:t>
            </w:r>
          </w:p>
        </w:tc>
        <w:tc>
          <w:tcPr>
            <w:tcW w:w="1014" w:type="pct"/>
            <w:vAlign w:val="center"/>
          </w:tcPr>
          <w:p w14:paraId="419C21E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128°29′48.09"</w:t>
            </w:r>
          </w:p>
        </w:tc>
        <w:tc>
          <w:tcPr>
            <w:tcW w:w="937" w:type="pct"/>
            <w:vAlign w:val="center"/>
          </w:tcPr>
          <w:p w14:paraId="3086BE0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47°40′16.99"</w:t>
            </w:r>
          </w:p>
        </w:tc>
        <w:tc>
          <w:tcPr>
            <w:tcW w:w="467" w:type="pct"/>
            <w:vAlign w:val="center"/>
          </w:tcPr>
          <w:p w14:paraId="3F2B56A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Z24</w:t>
            </w:r>
          </w:p>
        </w:tc>
        <w:tc>
          <w:tcPr>
            <w:tcW w:w="1015" w:type="pct"/>
            <w:vAlign w:val="center"/>
          </w:tcPr>
          <w:p w14:paraId="05C8A22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128°35′24.62"</w:t>
            </w:r>
          </w:p>
        </w:tc>
        <w:tc>
          <w:tcPr>
            <w:tcW w:w="939" w:type="pct"/>
            <w:vAlign w:val="center"/>
          </w:tcPr>
          <w:p w14:paraId="564FAD9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47°51′3.95"</w:t>
            </w:r>
          </w:p>
        </w:tc>
      </w:tr>
      <w:tr w14:paraId="14BDE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25" w:type="pct"/>
            <w:vAlign w:val="center"/>
          </w:tcPr>
          <w:p w14:paraId="51A45A6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Z11</w:t>
            </w:r>
          </w:p>
        </w:tc>
        <w:tc>
          <w:tcPr>
            <w:tcW w:w="1014" w:type="pct"/>
            <w:vAlign w:val="center"/>
          </w:tcPr>
          <w:p w14:paraId="27D178F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128°28′16.65"</w:t>
            </w:r>
          </w:p>
        </w:tc>
        <w:tc>
          <w:tcPr>
            <w:tcW w:w="937" w:type="pct"/>
            <w:vAlign w:val="center"/>
          </w:tcPr>
          <w:p w14:paraId="16DC2F1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47°40′56.84"</w:t>
            </w:r>
          </w:p>
        </w:tc>
        <w:tc>
          <w:tcPr>
            <w:tcW w:w="467" w:type="pct"/>
            <w:vAlign w:val="center"/>
          </w:tcPr>
          <w:p w14:paraId="392BD8A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Z25</w:t>
            </w:r>
          </w:p>
        </w:tc>
        <w:tc>
          <w:tcPr>
            <w:tcW w:w="1015" w:type="pct"/>
            <w:vAlign w:val="center"/>
          </w:tcPr>
          <w:p w14:paraId="309D954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128°35′23.29"</w:t>
            </w:r>
          </w:p>
        </w:tc>
        <w:tc>
          <w:tcPr>
            <w:tcW w:w="939" w:type="pct"/>
            <w:vAlign w:val="center"/>
          </w:tcPr>
          <w:p w14:paraId="6EE0868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47°50′13.54"</w:t>
            </w:r>
          </w:p>
        </w:tc>
      </w:tr>
      <w:tr w14:paraId="6E59E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625" w:type="pct"/>
            <w:vAlign w:val="center"/>
          </w:tcPr>
          <w:p w14:paraId="6CFAB3E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Z12</w:t>
            </w:r>
          </w:p>
        </w:tc>
        <w:tc>
          <w:tcPr>
            <w:tcW w:w="1014" w:type="pct"/>
            <w:vAlign w:val="center"/>
          </w:tcPr>
          <w:p w14:paraId="0CF175F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128°28′24.18"</w:t>
            </w:r>
          </w:p>
        </w:tc>
        <w:tc>
          <w:tcPr>
            <w:tcW w:w="937" w:type="pct"/>
            <w:vAlign w:val="center"/>
          </w:tcPr>
          <w:p w14:paraId="720E230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47°42′48.69"</w:t>
            </w:r>
          </w:p>
        </w:tc>
        <w:tc>
          <w:tcPr>
            <w:tcW w:w="467" w:type="pct"/>
            <w:vAlign w:val="center"/>
          </w:tcPr>
          <w:p w14:paraId="73F445E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Z26</w:t>
            </w:r>
          </w:p>
        </w:tc>
        <w:tc>
          <w:tcPr>
            <w:tcW w:w="1015" w:type="pct"/>
            <w:vAlign w:val="center"/>
          </w:tcPr>
          <w:p w14:paraId="4F2D5F2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128°36′10.18"</w:t>
            </w:r>
          </w:p>
        </w:tc>
        <w:tc>
          <w:tcPr>
            <w:tcW w:w="939" w:type="pct"/>
            <w:vAlign w:val="center"/>
          </w:tcPr>
          <w:p w14:paraId="2091DEB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47°49′52.14"</w:t>
            </w:r>
          </w:p>
        </w:tc>
      </w:tr>
      <w:tr w14:paraId="74674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625" w:type="pct"/>
            <w:vAlign w:val="center"/>
          </w:tcPr>
          <w:p w14:paraId="29A840C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Z13</w:t>
            </w:r>
          </w:p>
        </w:tc>
        <w:tc>
          <w:tcPr>
            <w:tcW w:w="1014" w:type="pct"/>
            <w:vAlign w:val="center"/>
          </w:tcPr>
          <w:p w14:paraId="3051178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128°28′29.65"</w:t>
            </w:r>
          </w:p>
        </w:tc>
        <w:tc>
          <w:tcPr>
            <w:tcW w:w="937" w:type="pct"/>
            <w:vAlign w:val="center"/>
          </w:tcPr>
          <w:p w14:paraId="25FDCB0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47°43′48.06"</w:t>
            </w:r>
          </w:p>
        </w:tc>
        <w:tc>
          <w:tcPr>
            <w:tcW w:w="467" w:type="pct"/>
            <w:vAlign w:val="center"/>
          </w:tcPr>
          <w:p w14:paraId="724817E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Z27</w:t>
            </w:r>
          </w:p>
        </w:tc>
        <w:tc>
          <w:tcPr>
            <w:tcW w:w="1015" w:type="pct"/>
            <w:vAlign w:val="center"/>
          </w:tcPr>
          <w:p w14:paraId="27D2C2E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128°36′32.64"</w:t>
            </w:r>
          </w:p>
        </w:tc>
        <w:tc>
          <w:tcPr>
            <w:tcW w:w="939" w:type="pct"/>
            <w:vAlign w:val="center"/>
          </w:tcPr>
          <w:p w14:paraId="09B225E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47°48′59.78"</w:t>
            </w:r>
          </w:p>
        </w:tc>
      </w:tr>
      <w:tr w14:paraId="0C701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625" w:type="pct"/>
            <w:vAlign w:val="center"/>
          </w:tcPr>
          <w:p w14:paraId="0AD877B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Z14</w:t>
            </w:r>
          </w:p>
        </w:tc>
        <w:tc>
          <w:tcPr>
            <w:tcW w:w="1014" w:type="pct"/>
            <w:vAlign w:val="center"/>
          </w:tcPr>
          <w:p w14:paraId="0FB2CFC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128°27′17.65"</w:t>
            </w:r>
          </w:p>
        </w:tc>
        <w:tc>
          <w:tcPr>
            <w:tcW w:w="937" w:type="pct"/>
            <w:vAlign w:val="center"/>
          </w:tcPr>
          <w:p w14:paraId="1A3B86A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47°43′47.49"</w:t>
            </w:r>
          </w:p>
        </w:tc>
        <w:tc>
          <w:tcPr>
            <w:tcW w:w="467" w:type="pct"/>
            <w:vAlign w:val="center"/>
          </w:tcPr>
          <w:p w14:paraId="3302711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Z28</w:t>
            </w:r>
          </w:p>
        </w:tc>
        <w:tc>
          <w:tcPr>
            <w:tcW w:w="1015" w:type="pct"/>
            <w:vAlign w:val="center"/>
          </w:tcPr>
          <w:p w14:paraId="1CA8027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128°36′22.19"</w:t>
            </w:r>
          </w:p>
        </w:tc>
        <w:tc>
          <w:tcPr>
            <w:tcW w:w="939" w:type="pct"/>
            <w:vAlign w:val="center"/>
          </w:tcPr>
          <w:p w14:paraId="0E2C28A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47°48′11.96"</w:t>
            </w:r>
          </w:p>
        </w:tc>
      </w:tr>
    </w:tbl>
    <w:p w14:paraId="6819A95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outlineLvl w:val="2"/>
        <w:rPr>
          <w:rFonts w:ascii="仿宋" w:hAnsi="仿宋" w:eastAsia="仿宋" w:cs="仿宋"/>
          <w:color w:val="auto"/>
          <w:spacing w:val="0"/>
          <w:w w:val="100"/>
          <w:position w:val="0"/>
          <w:sz w:val="28"/>
          <w:szCs w:val="28"/>
          <w:highlight w:val="none"/>
        </w:rPr>
      </w:pPr>
      <w:bookmarkStart w:id="375" w:name="_Toc22636"/>
      <w:bookmarkStart w:id="376" w:name="_Toc22044"/>
      <w:r>
        <w:rPr>
          <w:rFonts w:ascii="仿宋" w:hAnsi="仿宋" w:eastAsia="仿宋" w:cs="仿宋"/>
          <w:b/>
          <w:bCs/>
          <w:color w:val="auto"/>
          <w:spacing w:val="0"/>
          <w:w w:val="100"/>
          <w:position w:val="0"/>
          <w:sz w:val="28"/>
          <w:szCs w:val="28"/>
          <w:highlight w:val="none"/>
        </w:rPr>
        <w:t>3.2.1西山水库水源保护区取水、供水基本情况</w:t>
      </w:r>
      <w:bookmarkEnd w:id="375"/>
      <w:bookmarkEnd w:id="376"/>
    </w:p>
    <w:p w14:paraId="0631822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w:t>
      </w:r>
      <w:r>
        <w:rPr>
          <w:rFonts w:hint="eastAsia" w:ascii="仿宋" w:hAnsi="仿宋" w:eastAsia="仿宋" w:cs="仿宋"/>
          <w:color w:val="auto"/>
          <w:spacing w:val="0"/>
          <w:w w:val="100"/>
          <w:position w:val="0"/>
          <w:sz w:val="28"/>
          <w:szCs w:val="28"/>
          <w:highlight w:val="none"/>
          <w:lang w:eastAsia="zh-CN"/>
        </w:rPr>
        <w:t>作为</w:t>
      </w:r>
      <w:r>
        <w:rPr>
          <w:rFonts w:ascii="仿宋" w:hAnsi="仿宋" w:eastAsia="仿宋" w:cs="仿宋"/>
          <w:color w:val="auto"/>
          <w:spacing w:val="0"/>
          <w:w w:val="100"/>
          <w:position w:val="0"/>
          <w:sz w:val="28"/>
          <w:szCs w:val="28"/>
          <w:highlight w:val="none"/>
        </w:rPr>
        <w:t>水源地</w:t>
      </w:r>
      <w:r>
        <w:rPr>
          <w:rFonts w:hint="eastAsia" w:ascii="仿宋" w:hAnsi="仿宋" w:eastAsia="仿宋" w:cs="仿宋"/>
          <w:color w:val="auto"/>
          <w:spacing w:val="0"/>
          <w:w w:val="100"/>
          <w:position w:val="0"/>
          <w:sz w:val="28"/>
          <w:szCs w:val="28"/>
          <w:highlight w:val="none"/>
          <w:lang w:val="en-US" w:eastAsia="zh-CN"/>
        </w:rPr>
        <w:t>于</w:t>
      </w:r>
      <w:r>
        <w:rPr>
          <w:rFonts w:ascii="仿宋" w:hAnsi="仿宋" w:eastAsia="仿宋" w:cs="仿宋"/>
          <w:color w:val="auto"/>
          <w:spacing w:val="0"/>
          <w:w w:val="100"/>
          <w:position w:val="0"/>
          <w:sz w:val="28"/>
          <w:szCs w:val="28"/>
          <w:highlight w:val="none"/>
        </w:rPr>
        <w:t>2018年投入使用</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乌翠区城北部西山水库附近建设</w:t>
      </w:r>
      <w:r>
        <w:rPr>
          <w:rFonts w:hint="eastAsia" w:ascii="仿宋" w:hAnsi="仿宋" w:eastAsia="仿宋" w:cs="仿宋"/>
          <w:color w:val="auto"/>
          <w:spacing w:val="0"/>
          <w:w w:val="100"/>
          <w:position w:val="0"/>
          <w:sz w:val="28"/>
          <w:szCs w:val="28"/>
          <w:highlight w:val="none"/>
          <w:lang w:eastAsia="zh-CN"/>
        </w:rPr>
        <w:t>了一座水厂，</w:t>
      </w:r>
      <w:r>
        <w:rPr>
          <w:rFonts w:ascii="仿宋" w:hAnsi="仿宋" w:eastAsia="仿宋" w:cs="仿宋"/>
          <w:color w:val="auto"/>
          <w:spacing w:val="0"/>
          <w:w w:val="100"/>
          <w:position w:val="0"/>
          <w:sz w:val="28"/>
          <w:szCs w:val="28"/>
          <w:highlight w:val="none"/>
        </w:rPr>
        <w:t>供给乌翠区、伊春区中心城区居民生活用水和工业生产用水，近期</w:t>
      </w:r>
      <w:r>
        <w:rPr>
          <w:rFonts w:hint="eastAsia" w:ascii="仿宋" w:hAnsi="仿宋" w:eastAsia="仿宋" w:cs="仿宋"/>
          <w:color w:val="auto"/>
          <w:spacing w:val="0"/>
          <w:w w:val="100"/>
          <w:position w:val="0"/>
          <w:sz w:val="28"/>
          <w:szCs w:val="28"/>
          <w:highlight w:val="none"/>
          <w:lang w:val="en-US" w:eastAsia="zh-CN"/>
        </w:rPr>
        <w:t>日供水</w:t>
      </w:r>
      <w:r>
        <w:rPr>
          <w:rFonts w:ascii="仿宋" w:hAnsi="仿宋" w:eastAsia="仿宋" w:cs="仿宋"/>
          <w:color w:val="auto"/>
          <w:spacing w:val="0"/>
          <w:w w:val="100"/>
          <w:position w:val="0"/>
          <w:sz w:val="28"/>
          <w:szCs w:val="28"/>
          <w:highlight w:val="none"/>
        </w:rPr>
        <w:t>量约</w:t>
      </w:r>
      <w:r>
        <w:rPr>
          <w:rFonts w:hint="eastAsia" w:ascii="仿宋" w:hAnsi="仿宋" w:eastAsia="仿宋" w:cs="仿宋"/>
          <w:color w:val="auto"/>
          <w:spacing w:val="0"/>
          <w:w w:val="100"/>
          <w:position w:val="0"/>
          <w:sz w:val="28"/>
          <w:szCs w:val="28"/>
          <w:highlight w:val="none"/>
          <w:lang w:val="en-US" w:eastAsia="zh-CN"/>
        </w:rPr>
        <w:t>2.86</w:t>
      </w:r>
      <w:r>
        <w:rPr>
          <w:rFonts w:ascii="仿宋" w:hAnsi="仿宋" w:eastAsia="仿宋" w:cs="仿宋"/>
          <w:color w:val="auto"/>
          <w:spacing w:val="0"/>
          <w:w w:val="100"/>
          <w:position w:val="0"/>
          <w:sz w:val="28"/>
          <w:szCs w:val="28"/>
          <w:highlight w:val="none"/>
        </w:rPr>
        <w:t>万m</w:t>
      </w:r>
      <w:r>
        <w:rPr>
          <w:rFonts w:hint="eastAsia" w:ascii="仿宋" w:hAnsi="仿宋" w:eastAsia="仿宋" w:cs="仿宋"/>
          <w:color w:val="auto"/>
          <w:spacing w:val="0"/>
          <w:w w:val="100"/>
          <w:position w:val="0"/>
          <w:sz w:val="28"/>
          <w:szCs w:val="28"/>
          <w:highlight w:val="none"/>
          <w:vertAlign w:val="superscript"/>
          <w:lang w:val="en-US" w:eastAsia="zh-CN"/>
        </w:rPr>
        <w:t>3</w:t>
      </w:r>
      <w:r>
        <w:rPr>
          <w:rFonts w:ascii="仿宋" w:hAnsi="仿宋" w:eastAsia="仿宋" w:cs="仿宋"/>
          <w:color w:val="auto"/>
          <w:spacing w:val="0"/>
          <w:w w:val="100"/>
          <w:position w:val="0"/>
          <w:sz w:val="28"/>
          <w:szCs w:val="28"/>
          <w:highlight w:val="none"/>
        </w:rPr>
        <w:t>/d。</w:t>
      </w:r>
    </w:p>
    <w:p w14:paraId="0A1DCF3A">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377" w:name="bookmark105"/>
      <w:bookmarkEnd w:id="377"/>
      <w:bookmarkStart w:id="378" w:name="_Toc1648"/>
      <w:bookmarkStart w:id="379" w:name="_Toc7335"/>
      <w:bookmarkStart w:id="380" w:name="_Toc25987"/>
      <w:bookmarkStart w:id="381" w:name="_Toc4548"/>
      <w:bookmarkStart w:id="382" w:name="_Toc25057"/>
      <w:bookmarkStart w:id="383" w:name="_Toc12989"/>
      <w:r>
        <w:rPr>
          <w:rFonts w:ascii="仿宋" w:hAnsi="仿宋" w:eastAsia="仿宋" w:cs="仿宋"/>
          <w:b/>
          <w:bCs/>
          <w:color w:val="auto"/>
          <w:spacing w:val="0"/>
          <w:w w:val="100"/>
          <w:position w:val="0"/>
          <w:sz w:val="31"/>
          <w:szCs w:val="31"/>
          <w:highlight w:val="none"/>
        </w:rPr>
        <w:t>3.3自然和社会环境概况</w:t>
      </w:r>
      <w:bookmarkEnd w:id="378"/>
      <w:bookmarkEnd w:id="379"/>
      <w:bookmarkEnd w:id="380"/>
      <w:bookmarkEnd w:id="381"/>
      <w:bookmarkEnd w:id="382"/>
      <w:bookmarkEnd w:id="383"/>
    </w:p>
    <w:p w14:paraId="6D7D17BD">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384" w:name="_Toc20738"/>
      <w:bookmarkStart w:id="385" w:name="_Toc17012"/>
      <w:r>
        <w:rPr>
          <w:rFonts w:ascii="仿宋" w:hAnsi="仿宋" w:eastAsia="仿宋" w:cs="仿宋"/>
          <w:b/>
          <w:bCs/>
          <w:color w:val="auto"/>
          <w:spacing w:val="0"/>
          <w:w w:val="100"/>
          <w:position w:val="0"/>
          <w:sz w:val="28"/>
          <w:szCs w:val="28"/>
          <w:highlight w:val="none"/>
        </w:rPr>
        <w:t>3.3.1地理位置</w:t>
      </w:r>
      <w:bookmarkEnd w:id="384"/>
      <w:bookmarkEnd w:id="385"/>
    </w:p>
    <w:p w14:paraId="0F02C5C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隶属于黑龙江省伊春市。全区共辖4个街道，总面积1225.3平方千米。截至2024年末，乌翠区常住人口为7.5万人。乌翠区地处伊春市西部，东与伊美区毗邻，北接友好区，南与铁力市和大箐山县接壤，西与绥棱县和庆安县</w:t>
      </w:r>
      <w:r>
        <w:rPr>
          <w:rFonts w:hint="eastAsia" w:ascii="仿宋" w:hAnsi="仿宋" w:eastAsia="仿宋" w:cs="仿宋"/>
          <w:color w:val="auto"/>
          <w:spacing w:val="0"/>
          <w:w w:val="100"/>
          <w:position w:val="0"/>
          <w:sz w:val="28"/>
          <w:szCs w:val="28"/>
          <w:highlight w:val="none"/>
          <w:lang w:eastAsia="zh-CN"/>
        </w:rPr>
        <w:t>接壤</w:t>
      </w:r>
      <w:r>
        <w:rPr>
          <w:rFonts w:ascii="仿宋" w:hAnsi="仿宋" w:eastAsia="仿宋" w:cs="仿宋"/>
          <w:color w:val="auto"/>
          <w:spacing w:val="0"/>
          <w:w w:val="100"/>
          <w:position w:val="0"/>
          <w:sz w:val="28"/>
          <w:szCs w:val="28"/>
          <w:highlight w:val="none"/>
        </w:rPr>
        <w:t>。乌马河区名来源于境内乌马河名，原属汤原县管辖。翠峦区名源于驻地名，因过去森林茂密、山峦翠绿而得名。2019年6月29日，经国务院（国函〔2019〕63号）批准，撤销伊春市翠峦区，设立伊春市乌翠区，以原乌马河区剩余部分的行政区域和原翠峦区的行政区域为乌翠区的行政区域。</w:t>
      </w:r>
    </w:p>
    <w:p w14:paraId="0EB3BB69">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386" w:name="_Toc5784"/>
      <w:bookmarkStart w:id="387" w:name="_Toc22679"/>
      <w:r>
        <w:rPr>
          <w:rFonts w:ascii="仿宋" w:hAnsi="仿宋" w:eastAsia="仿宋" w:cs="仿宋"/>
          <w:b/>
          <w:bCs/>
          <w:color w:val="auto"/>
          <w:spacing w:val="0"/>
          <w:w w:val="100"/>
          <w:position w:val="0"/>
          <w:sz w:val="28"/>
          <w:szCs w:val="28"/>
          <w:highlight w:val="none"/>
        </w:rPr>
        <w:t>3.3.2地形地貌</w:t>
      </w:r>
      <w:bookmarkEnd w:id="386"/>
      <w:bookmarkEnd w:id="387"/>
    </w:p>
    <w:p w14:paraId="3F7DF83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全区（局）属低山丘陵地形。有9条较大的山脉构成地形骨架，地势为西部较高，向东逐渐</w:t>
      </w:r>
      <w:r>
        <w:rPr>
          <w:rFonts w:hint="eastAsia" w:ascii="仿宋" w:hAnsi="仿宋" w:eastAsia="仿宋" w:cs="仿宋"/>
          <w:color w:val="auto"/>
          <w:spacing w:val="0"/>
          <w:w w:val="100"/>
          <w:position w:val="0"/>
          <w:sz w:val="28"/>
          <w:szCs w:val="28"/>
          <w:highlight w:val="none"/>
          <w:lang w:eastAsia="zh-CN"/>
        </w:rPr>
        <w:t>降低</w:t>
      </w:r>
      <w:r>
        <w:rPr>
          <w:rFonts w:ascii="仿宋" w:hAnsi="仿宋" w:eastAsia="仿宋" w:cs="仿宋"/>
          <w:color w:val="auto"/>
          <w:spacing w:val="0"/>
          <w:w w:val="100"/>
          <w:position w:val="0"/>
          <w:sz w:val="28"/>
          <w:szCs w:val="28"/>
          <w:highlight w:val="none"/>
        </w:rPr>
        <w:t>，平均海拔在300</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500米之间，最高峰为解放所瞭望山，其海拔为994.5米，最低处是东部的草塘甸子，其海拔为250米。</w:t>
      </w:r>
    </w:p>
    <w:p w14:paraId="173A7DE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从乌翠区区域上看，地貌单元可划分为：剥蚀低山丘陵山地地貌、侵蚀剥蚀坡地地貌、河流堆积阶地地貌、河流堆积漫滩地貌。就区内各地貌形态分布、特点、物质组成成分分别叙述如下：</w:t>
      </w:r>
    </w:p>
    <w:p w14:paraId="0131FF2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剥蚀低山丘陵山地地貌：此地貌广泛分布于乌翠区湿地保护区周围及河谷两侧，海拔高程一般在400米至600米之间，其特点是山较高，林较密，冲沟水系较发育，岗脊多疏缓平坦，组成岩性为华力西期和印支期侵入岩较多，以河流与地表面冲刷侵蚀为主，其下切作用较强烈，山体在河谷两侧局部较陡峭。</w:t>
      </w:r>
    </w:p>
    <w:p w14:paraId="0B6E9F7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（2）侵蚀、剥蚀坡地地貌：从分布上看，一般介于山地地貌与河流堆积地貌之间，坡度多在10°至30°</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海拔高程于300米至500米之间，</w:t>
      </w:r>
      <w:r>
        <w:rPr>
          <w:rFonts w:hint="eastAsia" w:ascii="仿宋" w:hAnsi="仿宋" w:eastAsia="仿宋" w:cs="仿宋"/>
          <w:color w:val="auto"/>
          <w:spacing w:val="0"/>
          <w:w w:val="100"/>
          <w:position w:val="0"/>
          <w:sz w:val="28"/>
          <w:szCs w:val="28"/>
          <w:highlight w:val="none"/>
          <w:lang w:eastAsia="zh-CN"/>
        </w:rPr>
        <w:t>以风化剥蚀与地表面流冲蚀作用为主</w:t>
      </w:r>
      <w:r>
        <w:rPr>
          <w:rFonts w:ascii="仿宋" w:hAnsi="仿宋" w:eastAsia="仿宋" w:cs="仿宋"/>
          <w:color w:val="auto"/>
          <w:spacing w:val="0"/>
          <w:w w:val="100"/>
          <w:position w:val="0"/>
          <w:sz w:val="28"/>
          <w:szCs w:val="28"/>
          <w:highlight w:val="none"/>
        </w:rPr>
        <w:t>，地表多为森林与低矮乔灌木所覆盖，坡角多为耕地，坡地地层上部为风化带或坡残积层松散砾质粘土、碎石等，下部为侵入岩或沉积岩。</w:t>
      </w:r>
    </w:p>
    <w:p w14:paraId="5CC2B3E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河流堆积阶地地貌：呈岛状或条带状分布于翠峦至伊春之间的伊春河两侧，面积均较小，其地表多为波状、起伏状的鬃岗式地貌，其海拔高程在250米至350米之间，多为残留阶地，阶地岩性组成一般为粉质粘土、粉土、</w:t>
      </w:r>
      <w:r>
        <w:rPr>
          <w:rFonts w:hint="eastAsia" w:ascii="仿宋" w:hAnsi="仿宋" w:eastAsia="仿宋" w:cs="仿宋"/>
          <w:color w:val="auto"/>
          <w:spacing w:val="0"/>
          <w:w w:val="100"/>
          <w:position w:val="0"/>
          <w:sz w:val="28"/>
          <w:szCs w:val="28"/>
          <w:highlight w:val="none"/>
          <w:lang w:eastAsia="zh-CN"/>
        </w:rPr>
        <w:t>粉细砂</w:t>
      </w:r>
      <w:r>
        <w:rPr>
          <w:rFonts w:ascii="仿宋" w:hAnsi="仿宋" w:eastAsia="仿宋" w:cs="仿宋"/>
          <w:color w:val="auto"/>
          <w:spacing w:val="0"/>
          <w:w w:val="100"/>
          <w:position w:val="0"/>
          <w:sz w:val="28"/>
          <w:szCs w:val="28"/>
          <w:highlight w:val="none"/>
        </w:rPr>
        <w:t>、砂砾等，</w:t>
      </w:r>
      <w:r>
        <w:rPr>
          <w:rFonts w:hint="eastAsia" w:ascii="仿宋" w:hAnsi="仿宋" w:eastAsia="仿宋" w:cs="仿宋"/>
          <w:color w:val="auto"/>
          <w:spacing w:val="0"/>
          <w:w w:val="100"/>
          <w:position w:val="0"/>
          <w:sz w:val="28"/>
          <w:szCs w:val="28"/>
          <w:highlight w:val="none"/>
          <w:lang w:eastAsia="zh-CN"/>
        </w:rPr>
        <w:t>自上而下</w:t>
      </w:r>
      <w:r>
        <w:rPr>
          <w:rFonts w:ascii="仿宋" w:hAnsi="仿宋" w:eastAsia="仿宋" w:cs="仿宋"/>
          <w:color w:val="auto"/>
          <w:spacing w:val="0"/>
          <w:w w:val="100"/>
          <w:position w:val="0"/>
          <w:sz w:val="28"/>
          <w:szCs w:val="28"/>
          <w:highlight w:val="none"/>
        </w:rPr>
        <w:t>颗粒由细变粗，地表多为矮乔灌木、杂草或耕地。</w:t>
      </w:r>
    </w:p>
    <w:p w14:paraId="6BC6015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河流阶地早期形成时以河流堆积作用为主，堆积了较厚的松散沉积地层，后期随着地壳抬升地表以冲刷作用为主。</w:t>
      </w:r>
    </w:p>
    <w:p w14:paraId="30E5759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（4）河流堆积漫滩地貌：分布盆地腹部和盆底的各河流的河床两侧，地形相对较为平坦，海拔高程一般在200米至300米之间，多为现代河流冲积、冲洪积形成的粉质粘土、粉土、中细砂、</w:t>
      </w:r>
      <w:r>
        <w:rPr>
          <w:rFonts w:hint="eastAsia" w:ascii="仿宋" w:hAnsi="仿宋" w:eastAsia="仿宋" w:cs="仿宋"/>
          <w:color w:val="auto"/>
          <w:spacing w:val="0"/>
          <w:w w:val="100"/>
          <w:position w:val="0"/>
          <w:sz w:val="28"/>
          <w:szCs w:val="28"/>
          <w:highlight w:val="none"/>
          <w:lang w:eastAsia="zh-CN"/>
        </w:rPr>
        <w:t>圆砾卵石</w:t>
      </w:r>
      <w:r>
        <w:rPr>
          <w:rFonts w:ascii="仿宋" w:hAnsi="仿宋" w:eastAsia="仿宋" w:cs="仿宋"/>
          <w:color w:val="auto"/>
          <w:spacing w:val="0"/>
          <w:w w:val="100"/>
          <w:position w:val="0"/>
          <w:sz w:val="28"/>
          <w:szCs w:val="28"/>
          <w:highlight w:val="none"/>
        </w:rPr>
        <w:t>等松散沉积地层。</w:t>
      </w:r>
    </w:p>
    <w:p w14:paraId="70F4DD2E">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388" w:name="_Toc26767"/>
      <w:bookmarkStart w:id="389" w:name="_Toc24096"/>
      <w:r>
        <w:rPr>
          <w:rFonts w:ascii="仿宋" w:hAnsi="仿宋" w:eastAsia="仿宋" w:cs="仿宋"/>
          <w:b/>
          <w:bCs/>
          <w:color w:val="auto"/>
          <w:spacing w:val="0"/>
          <w:w w:val="100"/>
          <w:position w:val="0"/>
          <w:sz w:val="28"/>
          <w:szCs w:val="28"/>
          <w:highlight w:val="none"/>
        </w:rPr>
        <w:t>3.3.3气候特征</w:t>
      </w:r>
      <w:bookmarkEnd w:id="388"/>
      <w:bookmarkEnd w:id="389"/>
    </w:p>
    <w:p w14:paraId="1784CC7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属北温带大陆性季风气候，气候特点为春季到来迟缓，大风多，降水少；夏季受东南季风影响，湿润、炎热而短促，降雨较多；秋季降温急剧，初霜早，无霜期短；冬季干旱寒冷而漫长，少雪而干燥，山区气候明显。年平均气温在0.5℃左右，≥10℃年积温在2100℃~2300℃之间。无霜期在110天</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120天之间。结冻期从10月下旬开始，融化期在4月中旬，结冻期近6个月。年降雪天数为50</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60天。全年降水天数为135</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138天，年均总降水量630.8毫米。</w:t>
      </w:r>
    </w:p>
    <w:p w14:paraId="06353E7B">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390" w:name="_Toc29723"/>
      <w:bookmarkStart w:id="391" w:name="_Toc26388"/>
      <w:r>
        <w:rPr>
          <w:rFonts w:ascii="仿宋" w:hAnsi="仿宋" w:eastAsia="仿宋" w:cs="仿宋"/>
          <w:b/>
          <w:bCs/>
          <w:color w:val="auto"/>
          <w:spacing w:val="0"/>
          <w:w w:val="100"/>
          <w:position w:val="0"/>
          <w:sz w:val="28"/>
          <w:szCs w:val="28"/>
          <w:highlight w:val="none"/>
        </w:rPr>
        <w:t>3.3.4土壤</w:t>
      </w:r>
      <w:bookmarkEnd w:id="390"/>
      <w:bookmarkEnd w:id="391"/>
    </w:p>
    <w:p w14:paraId="0ACD8A4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全区（局）土壤类型主要有地带性土壤—暗棕壤，非地带性土壤—草甸土、沼泽土和泥炭土。暗棕壤是本区主要森林土壤，分布范围广，约占总面积的85%，从海拔300米至800米之间均有分布。在河岸阶地、山间</w:t>
      </w:r>
    </w:p>
    <w:p w14:paraId="112EC93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低地、河谷边缘地势平缓地带，海拔200米至300米之间，分布有草甸土。在河流两岸及低洼积水与排水不良地带，海拔150米至300米之间，分布有沼泽土。在昆仑气林场分布有少量的泥炭腐殖沼泽土</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占总面积的0.32%。</w:t>
      </w:r>
    </w:p>
    <w:p w14:paraId="2C31DBB6">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392" w:name="_Toc3091"/>
      <w:bookmarkStart w:id="393" w:name="_Toc23928"/>
      <w:r>
        <w:rPr>
          <w:rFonts w:ascii="仿宋" w:hAnsi="仿宋" w:eastAsia="仿宋" w:cs="仿宋"/>
          <w:b/>
          <w:bCs/>
          <w:color w:val="auto"/>
          <w:spacing w:val="0"/>
          <w:w w:val="100"/>
          <w:position w:val="0"/>
          <w:sz w:val="28"/>
          <w:szCs w:val="28"/>
          <w:highlight w:val="none"/>
        </w:rPr>
        <w:t>3.3.5地下水</w:t>
      </w:r>
      <w:bookmarkEnd w:id="392"/>
      <w:bookmarkEnd w:id="393"/>
    </w:p>
    <w:p w14:paraId="52777DA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乌翠区地下水大体可分为3个区，即：</w:t>
      </w:r>
    </w:p>
    <w:p w14:paraId="5A499C3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①低山丘陵区基岩裂隙水：分布在乌翠区河谷两侧的低山丘陵地区，是由大面积的印支期和燕山期花岗岩及中生代沉积地层组成，其扭性、张扭性断裂带赋存较丰富的构造裂隙水，其表面风化裂隙也较发育，并富有风化裂隙水。</w:t>
      </w:r>
    </w:p>
    <w:p w14:paraId="1F6F6E3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②拗陷区裂隙孔隙水：拗陷区主要堆积了白垩系碎屑岩、第三系松散砂砾岩、构造裂隙、节理裂隙及砂砾等岩类孔隙水，主要分布在翠峦城区及附近。</w:t>
      </w:r>
    </w:p>
    <w:p w14:paraId="6621279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③河谷、漫滩、阶地区孔隙潜水：分布在本区河床及河床两侧的漫滩阶地的砂砾石中。</w:t>
      </w:r>
    </w:p>
    <w:p w14:paraId="1F38CFA2">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394" w:name="_Toc3425"/>
      <w:bookmarkStart w:id="395" w:name="_Toc30439"/>
      <w:r>
        <w:rPr>
          <w:rFonts w:ascii="仿宋" w:hAnsi="仿宋" w:eastAsia="仿宋" w:cs="仿宋"/>
          <w:b/>
          <w:bCs/>
          <w:color w:val="auto"/>
          <w:spacing w:val="0"/>
          <w:w w:val="100"/>
          <w:position w:val="0"/>
          <w:sz w:val="28"/>
          <w:szCs w:val="28"/>
          <w:highlight w:val="none"/>
        </w:rPr>
        <w:t>3.3</w:t>
      </w:r>
      <w:r>
        <w:rPr>
          <w:rFonts w:hint="eastAsia" w:ascii="仿宋" w:hAnsi="仿宋" w:eastAsia="仿宋" w:cs="仿宋"/>
          <w:b/>
          <w:bCs/>
          <w:color w:val="auto"/>
          <w:spacing w:val="0"/>
          <w:w w:val="100"/>
          <w:position w:val="0"/>
          <w:sz w:val="28"/>
          <w:szCs w:val="28"/>
          <w:highlight w:val="none"/>
          <w:lang w:val="en-US" w:eastAsia="zh-CN"/>
        </w:rPr>
        <w:t>.6</w:t>
      </w:r>
      <w:r>
        <w:rPr>
          <w:rFonts w:ascii="仿宋" w:hAnsi="仿宋" w:eastAsia="仿宋" w:cs="仿宋"/>
          <w:b/>
          <w:bCs/>
          <w:color w:val="auto"/>
          <w:spacing w:val="0"/>
          <w:w w:val="100"/>
          <w:position w:val="0"/>
          <w:sz w:val="28"/>
          <w:szCs w:val="28"/>
          <w:highlight w:val="none"/>
        </w:rPr>
        <w:t>河流水系</w:t>
      </w:r>
      <w:bookmarkEnd w:id="394"/>
      <w:bookmarkEnd w:id="395"/>
    </w:p>
    <w:p w14:paraId="28775B1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ascii="仿宋" w:hAnsi="仿宋" w:eastAsia="仿宋" w:cs="仿宋"/>
          <w:color w:val="auto"/>
          <w:spacing w:val="0"/>
          <w:w w:val="100"/>
          <w:position w:val="0"/>
          <w:sz w:val="28"/>
          <w:szCs w:val="28"/>
          <w:highlight w:val="none"/>
        </w:rPr>
        <w:t>乌翠区境内有</w:t>
      </w:r>
      <w:r>
        <w:rPr>
          <w:rFonts w:hint="eastAsia" w:ascii="仿宋" w:hAnsi="仿宋" w:eastAsia="仿宋" w:cs="仿宋"/>
          <w:color w:val="auto"/>
          <w:spacing w:val="0"/>
          <w:w w:val="100"/>
          <w:position w:val="0"/>
          <w:sz w:val="28"/>
          <w:szCs w:val="28"/>
          <w:highlight w:val="none"/>
          <w:lang w:val="en-US" w:eastAsia="zh-CN"/>
        </w:rPr>
        <w:t>17</w:t>
      </w:r>
      <w:r>
        <w:rPr>
          <w:rFonts w:ascii="仿宋" w:hAnsi="仿宋" w:eastAsia="仿宋" w:cs="仿宋"/>
          <w:color w:val="auto"/>
          <w:spacing w:val="0"/>
          <w:w w:val="100"/>
          <w:position w:val="0"/>
          <w:sz w:val="28"/>
          <w:szCs w:val="28"/>
          <w:highlight w:val="none"/>
        </w:rPr>
        <w:t>条河流</w:t>
      </w:r>
      <w:r>
        <w:rPr>
          <w:rFonts w:hint="eastAsia" w:ascii="仿宋" w:hAnsi="仿宋" w:eastAsia="仿宋" w:cs="仿宋"/>
          <w:color w:val="auto"/>
          <w:spacing w:val="0"/>
          <w:w w:val="100"/>
          <w:position w:val="0"/>
          <w:sz w:val="28"/>
          <w:szCs w:val="28"/>
          <w:highlight w:val="none"/>
          <w:lang w:eastAsia="zh-CN"/>
        </w:rPr>
        <w:t>。</w:t>
      </w:r>
    </w:p>
    <w:p w14:paraId="347B27B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1.伊春河乌翠区段，流经我区河流长度为34.5公里(流经翠峦林业局公司北山分公司、翠峦镇、乌马河林业局公司乌马河林场分公司、乌马河镇);</w:t>
      </w:r>
    </w:p>
    <w:p w14:paraId="3811AB8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2.乌马河，河流长度为68公里(流经乌马河林业局公司前进林场--育苗林场、乌马河镇);</w:t>
      </w:r>
      <w:bookmarkStart w:id="723" w:name="_GoBack"/>
      <w:bookmarkEnd w:id="723"/>
    </w:p>
    <w:p w14:paraId="32191F8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3.西鸟马河，河流长度14公里(流经乌马河林业局公司西岭林场);</w:t>
      </w:r>
    </w:p>
    <w:p w14:paraId="5B00738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4.红五月河，河流长度21公里(流经乌马河林业局公司青山林场);</w:t>
      </w:r>
    </w:p>
    <w:p w14:paraId="106CAE8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5.红旗河，河流长度17公里(流经乌马河林业局公司伊敏林场);</w:t>
      </w:r>
    </w:p>
    <w:p w14:paraId="32A185B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6.挡石河，河流长度34公里(流经翠峦林业局公司冲锋林场分公司):</w:t>
      </w:r>
    </w:p>
    <w:p w14:paraId="01E1CD3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7.尖山河，河流长度35公里(流经翠峦林业局公司尖山河林场分公司);</w:t>
      </w:r>
    </w:p>
    <w:p w14:paraId="221B06F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8.尖山河右支河，河流长度14公里(流经翠峦林业局公司尖山河林场分公司);</w:t>
      </w:r>
    </w:p>
    <w:p w14:paraId="245344A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9.抚育河，河流长度32公里(流经翠峦林业局公司抚育河林场分公司);</w:t>
      </w:r>
    </w:p>
    <w:p w14:paraId="28A4B1A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10.昆仑气河，河流长度29公里(流经翠峦林业局公司昆仑气林场分公司);</w:t>
      </w:r>
    </w:p>
    <w:p w14:paraId="7894F4C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11.清水河，河流长度14公里(流经翠峦林业局公司昆仑气林场分公司);</w:t>
      </w:r>
    </w:p>
    <w:p w14:paraId="1BCB540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12.翠峦河，河流长度47公里(流经翠峦林业局公司翠峦河林场分公司);</w:t>
      </w:r>
    </w:p>
    <w:p w14:paraId="0E83CDD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13.么河，河流长度35公里(流经翠峦林业局公司解放林场分公司);</w:t>
      </w:r>
    </w:p>
    <w:p w14:paraId="348E397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lang w:eastAsia="zh-CN"/>
        </w:rPr>
      </w:pPr>
      <w:r>
        <w:rPr>
          <w:rFonts w:hint="eastAsia" w:ascii="仿宋" w:hAnsi="仿宋" w:eastAsia="仿宋" w:cs="仿宋"/>
          <w:color w:val="auto"/>
          <w:spacing w:val="0"/>
          <w:w w:val="100"/>
          <w:position w:val="0"/>
          <w:sz w:val="28"/>
          <w:szCs w:val="28"/>
          <w:highlight w:val="none"/>
          <w:lang w:eastAsia="zh-CN"/>
        </w:rPr>
        <w:t>14.贮木河，河流长度16公里(流经翠峦林业局公司么河林场分公司);</w:t>
      </w:r>
    </w:p>
    <w:p w14:paraId="3FB8CB1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15.解放河，河流长度13公里(流经翠峦林业局公司解放林场分公司);</w:t>
      </w:r>
    </w:p>
    <w:p w14:paraId="526553A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这些河流可分为三大水系，最后汇成伊春河流出翠峦境外。</w:t>
      </w:r>
    </w:p>
    <w:p w14:paraId="254FC14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①</w:t>
      </w:r>
      <w:r>
        <w:rPr>
          <w:rFonts w:hint="eastAsia" w:ascii="仿宋" w:hAnsi="仿宋" w:eastAsia="仿宋" w:cs="仿宋"/>
          <w:color w:val="auto"/>
          <w:spacing w:val="0"/>
          <w:w w:val="100"/>
          <w:position w:val="0"/>
          <w:sz w:val="28"/>
          <w:szCs w:val="28"/>
          <w:highlight w:val="none"/>
          <w:lang w:eastAsia="zh-CN"/>
        </w:rPr>
        <w:t>么河</w:t>
      </w:r>
      <w:r>
        <w:rPr>
          <w:rFonts w:ascii="仿宋" w:hAnsi="仿宋" w:eastAsia="仿宋" w:cs="仿宋"/>
          <w:color w:val="auto"/>
          <w:spacing w:val="0"/>
          <w:w w:val="100"/>
          <w:position w:val="0"/>
          <w:sz w:val="28"/>
          <w:szCs w:val="28"/>
          <w:highlight w:val="none"/>
        </w:rPr>
        <w:t>水系：</w:t>
      </w:r>
      <w:r>
        <w:rPr>
          <w:rFonts w:hint="eastAsia" w:ascii="仿宋" w:hAnsi="仿宋" w:eastAsia="仿宋" w:cs="仿宋"/>
          <w:color w:val="auto"/>
          <w:spacing w:val="0"/>
          <w:w w:val="100"/>
          <w:position w:val="0"/>
          <w:sz w:val="28"/>
          <w:szCs w:val="28"/>
          <w:highlight w:val="none"/>
          <w:lang w:eastAsia="zh-CN"/>
        </w:rPr>
        <w:t>么河</w:t>
      </w:r>
      <w:r>
        <w:rPr>
          <w:rFonts w:ascii="仿宋" w:hAnsi="仿宋" w:eastAsia="仿宋" w:cs="仿宋"/>
          <w:color w:val="auto"/>
          <w:spacing w:val="0"/>
          <w:w w:val="100"/>
          <w:position w:val="0"/>
          <w:sz w:val="28"/>
          <w:szCs w:val="28"/>
          <w:highlight w:val="none"/>
        </w:rPr>
        <w:t>发源于铁力境内，由南北向流经解放经营所、胜利村、一江村、</w:t>
      </w:r>
      <w:r>
        <w:rPr>
          <w:rFonts w:hint="eastAsia" w:ascii="仿宋" w:hAnsi="仿宋" w:eastAsia="仿宋" w:cs="仿宋"/>
          <w:color w:val="auto"/>
          <w:spacing w:val="0"/>
          <w:w w:val="100"/>
          <w:position w:val="0"/>
          <w:sz w:val="28"/>
          <w:szCs w:val="28"/>
          <w:highlight w:val="none"/>
          <w:lang w:eastAsia="zh-CN"/>
        </w:rPr>
        <w:t>么河</w:t>
      </w:r>
      <w:r>
        <w:rPr>
          <w:rFonts w:ascii="仿宋" w:hAnsi="仿宋" w:eastAsia="仿宋" w:cs="仿宋"/>
          <w:color w:val="auto"/>
          <w:spacing w:val="0"/>
          <w:w w:val="100"/>
          <w:position w:val="0"/>
          <w:sz w:val="28"/>
          <w:szCs w:val="28"/>
          <w:highlight w:val="none"/>
        </w:rPr>
        <w:t>经营所，在和平村南翠开公路6公里处</w:t>
      </w:r>
      <w:r>
        <w:rPr>
          <w:rFonts w:hint="eastAsia" w:ascii="仿宋" w:hAnsi="仿宋" w:eastAsia="仿宋" w:cs="仿宋"/>
          <w:color w:val="auto"/>
          <w:spacing w:val="0"/>
          <w:w w:val="100"/>
          <w:position w:val="0"/>
          <w:sz w:val="28"/>
          <w:szCs w:val="28"/>
          <w:highlight w:val="none"/>
          <w:lang w:eastAsia="zh-CN"/>
        </w:rPr>
        <w:t>流入</w:t>
      </w:r>
      <w:r>
        <w:rPr>
          <w:rFonts w:ascii="仿宋" w:hAnsi="仿宋" w:eastAsia="仿宋" w:cs="仿宋"/>
          <w:color w:val="auto"/>
          <w:spacing w:val="0"/>
          <w:w w:val="100"/>
          <w:position w:val="0"/>
          <w:sz w:val="28"/>
          <w:szCs w:val="28"/>
          <w:highlight w:val="none"/>
        </w:rPr>
        <w:t>翠峦河，全长55公里，是乌翠区内第二大河流，其支流有昆仑气河、贮木河、碧水河、丽林河。</w:t>
      </w:r>
    </w:p>
    <w:p w14:paraId="207139A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②翠峦河水系：翠峦河有两个源头，一个发源于开源河林场实验村北鹅头山西侧，另一个发源于该林场丁字山东侧，此河经开源河向南流经翠林村、翠峦河经营所，</w:t>
      </w:r>
      <w:r>
        <w:rPr>
          <w:rFonts w:hint="eastAsia" w:ascii="仿宋" w:hAnsi="仿宋" w:eastAsia="仿宋" w:cs="仿宋"/>
          <w:color w:val="auto"/>
          <w:spacing w:val="0"/>
          <w:w w:val="100"/>
          <w:position w:val="0"/>
          <w:sz w:val="28"/>
          <w:szCs w:val="28"/>
          <w:highlight w:val="none"/>
          <w:lang w:eastAsia="zh-CN"/>
        </w:rPr>
        <w:t>与</w:t>
      </w:r>
      <w:r>
        <w:rPr>
          <w:rFonts w:ascii="仿宋" w:hAnsi="仿宋" w:eastAsia="仿宋" w:cs="仿宋"/>
          <w:color w:val="auto"/>
          <w:spacing w:val="0"/>
          <w:w w:val="100"/>
          <w:position w:val="0"/>
          <w:sz w:val="28"/>
          <w:szCs w:val="28"/>
          <w:highlight w:val="none"/>
        </w:rPr>
        <w:t>挡石河</w:t>
      </w:r>
      <w:r>
        <w:rPr>
          <w:rFonts w:hint="eastAsia" w:ascii="仿宋" w:hAnsi="仿宋" w:eastAsia="仿宋" w:cs="仿宋"/>
          <w:color w:val="auto"/>
          <w:spacing w:val="0"/>
          <w:w w:val="100"/>
          <w:position w:val="0"/>
          <w:sz w:val="28"/>
          <w:szCs w:val="28"/>
          <w:highlight w:val="none"/>
          <w:lang w:eastAsia="zh-CN"/>
        </w:rPr>
        <w:t>汇合成</w:t>
      </w:r>
      <w:r>
        <w:rPr>
          <w:rFonts w:ascii="仿宋" w:hAnsi="仿宋" w:eastAsia="仿宋" w:cs="仿宋"/>
          <w:color w:val="auto"/>
          <w:spacing w:val="0"/>
          <w:w w:val="100"/>
          <w:position w:val="0"/>
          <w:sz w:val="28"/>
          <w:szCs w:val="28"/>
          <w:highlight w:val="none"/>
        </w:rPr>
        <w:t>伊春河，在北山经营所附近汇入伊春河，此河流长46公里，此河有两大支流，</w:t>
      </w:r>
      <w:r>
        <w:rPr>
          <w:rFonts w:hint="eastAsia" w:ascii="仿宋" w:hAnsi="仿宋" w:eastAsia="仿宋" w:cs="仿宋"/>
          <w:color w:val="auto"/>
          <w:spacing w:val="0"/>
          <w:w w:val="100"/>
          <w:position w:val="0"/>
          <w:sz w:val="28"/>
          <w:szCs w:val="28"/>
          <w:highlight w:val="none"/>
          <w:lang w:eastAsia="zh-CN"/>
        </w:rPr>
        <w:t>即</w:t>
      </w:r>
      <w:r>
        <w:rPr>
          <w:rFonts w:ascii="仿宋" w:hAnsi="仿宋" w:eastAsia="仿宋" w:cs="仿宋"/>
          <w:color w:val="auto"/>
          <w:spacing w:val="0"/>
          <w:w w:val="100"/>
          <w:position w:val="0"/>
          <w:sz w:val="28"/>
          <w:szCs w:val="28"/>
          <w:highlight w:val="none"/>
        </w:rPr>
        <w:t>尖山河和扶育河。</w:t>
      </w:r>
    </w:p>
    <w:p w14:paraId="164B2ED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③挡石河水系：挡石河发源于冲锋经营所挡石山和友好区交界处分水岭南坡，纵横经营所全境，向南流入北山所施业区北部，和翠峦河汇成伊春河，全长36公里，支流有太平河和高岩河。</w:t>
      </w:r>
    </w:p>
    <w:p w14:paraId="7D891FA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伊春河属过境河，上游由翠峦河、</w:t>
      </w:r>
      <w:r>
        <w:rPr>
          <w:rFonts w:hint="eastAsia" w:ascii="仿宋" w:hAnsi="仿宋" w:eastAsia="仿宋" w:cs="仿宋"/>
          <w:color w:val="auto"/>
          <w:spacing w:val="0"/>
          <w:w w:val="100"/>
          <w:position w:val="0"/>
          <w:sz w:val="28"/>
          <w:szCs w:val="28"/>
          <w:highlight w:val="none"/>
          <w:lang w:eastAsia="zh-CN"/>
        </w:rPr>
        <w:t>么河</w:t>
      </w:r>
      <w:r>
        <w:rPr>
          <w:rFonts w:ascii="仿宋" w:hAnsi="仿宋" w:eastAsia="仿宋" w:cs="仿宋"/>
          <w:color w:val="auto"/>
          <w:spacing w:val="0"/>
          <w:w w:val="100"/>
          <w:position w:val="0"/>
          <w:sz w:val="28"/>
          <w:szCs w:val="28"/>
          <w:highlight w:val="none"/>
        </w:rPr>
        <w:t>、挡石河三大水系汇集而成，由东流经乌马河区、伊春区最后注入汤旺河。</w:t>
      </w:r>
    </w:p>
    <w:p w14:paraId="46672559">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hint="default" w:ascii="仿宋" w:hAnsi="仿宋" w:eastAsia="仿宋" w:cs="仿宋"/>
          <w:color w:val="auto"/>
          <w:spacing w:val="0"/>
          <w:w w:val="100"/>
          <w:position w:val="0"/>
          <w:sz w:val="28"/>
          <w:szCs w:val="28"/>
          <w:highlight w:val="none"/>
        </w:rPr>
      </w:pPr>
      <w:bookmarkStart w:id="396" w:name="bookmark106"/>
      <w:bookmarkEnd w:id="396"/>
      <w:bookmarkStart w:id="397" w:name="_Toc26889"/>
      <w:bookmarkStart w:id="398" w:name="_Toc32121"/>
      <w:r>
        <w:rPr>
          <w:rFonts w:ascii="仿宋" w:hAnsi="仿宋" w:eastAsia="仿宋" w:cs="仿宋"/>
          <w:b/>
          <w:bCs/>
          <w:color w:val="auto"/>
          <w:spacing w:val="0"/>
          <w:w w:val="100"/>
          <w:position w:val="0"/>
          <w:sz w:val="28"/>
          <w:szCs w:val="28"/>
          <w:highlight w:val="none"/>
        </w:rPr>
        <w:t>3.3</w:t>
      </w:r>
      <w:r>
        <w:rPr>
          <w:rFonts w:hint="eastAsia" w:ascii="仿宋" w:hAnsi="仿宋" w:eastAsia="仿宋" w:cs="仿宋"/>
          <w:b/>
          <w:bCs/>
          <w:color w:val="auto"/>
          <w:spacing w:val="0"/>
          <w:w w:val="100"/>
          <w:position w:val="0"/>
          <w:sz w:val="28"/>
          <w:szCs w:val="28"/>
          <w:highlight w:val="none"/>
          <w:lang w:val="en-US" w:eastAsia="zh-CN"/>
        </w:rPr>
        <w:t>.</w:t>
      </w:r>
      <w:r>
        <w:rPr>
          <w:rFonts w:hint="default" w:ascii="仿宋" w:hAnsi="仿宋" w:eastAsia="仿宋" w:cs="仿宋"/>
          <w:b/>
          <w:bCs/>
          <w:color w:val="auto"/>
          <w:spacing w:val="0"/>
          <w:w w:val="100"/>
          <w:position w:val="0"/>
          <w:sz w:val="28"/>
          <w:szCs w:val="28"/>
          <w:highlight w:val="none"/>
          <w:lang w:eastAsia="zh-CN"/>
        </w:rPr>
        <w:t>7</w:t>
      </w:r>
      <w:r>
        <w:rPr>
          <w:rFonts w:ascii="仿宋" w:hAnsi="仿宋" w:eastAsia="仿宋" w:cs="仿宋"/>
          <w:b/>
          <w:bCs/>
          <w:color w:val="auto"/>
          <w:spacing w:val="0"/>
          <w:w w:val="100"/>
          <w:position w:val="0"/>
          <w:sz w:val="28"/>
          <w:szCs w:val="28"/>
          <w:highlight w:val="none"/>
        </w:rPr>
        <w:t>产业规模</w:t>
      </w:r>
      <w:bookmarkEnd w:id="397"/>
      <w:bookmarkEnd w:id="398"/>
    </w:p>
    <w:p w14:paraId="1DD3775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第一产业</w:t>
      </w:r>
    </w:p>
    <w:p w14:paraId="6F63857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2024年，乌翠区农林牧渔业总产值10.1亿元，按可比价格计算（下同）同比增长3.2%，比上年提高3个百分点，低于全市平均水平（3.7%）0.5个百分点，位居全市第5位。其中，种植业拉动有力，产值5.8亿元，同比增长21.7%，占农林牧渔业总产值比重57%，拉动农林牧渔业总产值增速18.2个百分点。粮食产量实现“二十连丰”，全年粮食总产量1.4万吨，同比增长16.7%；比上年增加0.2万吨，主要受玉米播种面积扩大0.6万亩、增产0.2万吨带动。蔬菜及食用菌产量同比增长8%，瓜果类产量同比增长5.3%。畜牧业下滑明显，产值2亿元，同比下降22.1%，占农林牧渔业总产值比重20.4%，下拉农林牧渔业总产值增速13.8个百分点，比上年扩大16.1个百分点。主要畜禽产品中，四增一降一持平，羊、牛、生牛奶、活家禽分别增长6.6%、5.9%，2.3%，1.2%，全年生猪出栏2.4万头，同比下降45%，比上年提高18.6个百分点；禽蛋产量持平。渔业、林业、农林牧渔专业及辅助性活动增速较快，分别增长12%、7.5%和5.8%，分别占农林牧渔业总产值比重0.9%、14%、7.6%。</w:t>
      </w:r>
    </w:p>
    <w:p w14:paraId="4C4D4EC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第二产业</w:t>
      </w:r>
    </w:p>
    <w:p w14:paraId="2B2AAF3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2024年，乌翠区规模以上工业增加值同比下降9.1%，比上年提高4个百分点，低于全市平均水平（-4%）5.1个百分点，增速位居全市第6位。从二大门类看，制造业增加值下降1.9%，占全区规上工业增加值比重7.9%，负向拉动规上工业增加值增长0.1个百分点；电力热力燃气及水生产和供应业下降9.7%，占全区规上工业增加值比重92.1%，负向拉动规上工业增加值增长9个百分点。从产值看，全区规模以上工业总产值14.4亿元，下降10%。其中：华能伊春热电有限公司总产值13亿元，下降10.4%，占规上工业总产值比重90.2%，负向拉动规上工业总产值增长9.4个百分点；黑龙江北货郎森林食品有限公司总产值0.3亿元，下降1.6%，占规上工业总产值比重0.4%；伊春药业有限公司总产值0.3亿元，增长4.7%，占规上工业总产值比重2.1%，拉动规上工业总产值增长0.3个百分点；伊春中盟生物科技股份有限公司总产值0.5亿元，增长32.2%，占规上工业总产值比重3.7%，拉动规上工业总产值增长0.8个百分点。</w:t>
      </w:r>
    </w:p>
    <w:p w14:paraId="4581320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eastAsia"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第三产业</w:t>
      </w:r>
    </w:p>
    <w:p w14:paraId="683D98A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rPr>
        <w:t>2024年，乌翠区社会消费品零售总额同比增长2.7%，高于全市（2.6%）0.1个百分点，位居全市第5位，位次与上季度前移1位，较去年同期前移5位。从销售单位所在地看，城镇消费品零售额增长2.4%，乡村消费品零售额增长9.2%，乡村增速连续高于城镇。从限上消费看，商品零售持续增长。全年全区限额以上单位消费品零售总额2.3亿元，同比增长15.2%。其中，餐饮收入0.3亿元，增长6.1%；商品零售额2亿元，增长16.4%。其中：汽车类零售额下降13.6%，负向拉动限上社零额增长2301.8个百分点；石油及制品类商品零售额增长5.4%，拉动限上社零额增长118.7个百分点。饮料类零售额增长155.3%，拉动限上社零额增长9589.3个百分点。</w:t>
      </w:r>
    </w:p>
    <w:p w14:paraId="66B8743B">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399" w:name="_Toc22288"/>
      <w:bookmarkStart w:id="400" w:name="_Toc17870"/>
      <w:bookmarkStart w:id="401" w:name="_Toc10258"/>
      <w:bookmarkStart w:id="402" w:name="_Toc27929"/>
      <w:bookmarkStart w:id="403" w:name="_Toc24466"/>
      <w:bookmarkStart w:id="404" w:name="_Toc29419"/>
      <w:r>
        <w:rPr>
          <w:rFonts w:ascii="仿宋" w:hAnsi="仿宋" w:eastAsia="仿宋" w:cs="仿宋"/>
          <w:b/>
          <w:bCs/>
          <w:color w:val="auto"/>
          <w:spacing w:val="0"/>
          <w:w w:val="100"/>
          <w:position w:val="0"/>
          <w:sz w:val="31"/>
          <w:szCs w:val="31"/>
          <w:highlight w:val="none"/>
        </w:rPr>
        <w:t>3.4水源监测状况</w:t>
      </w:r>
      <w:bookmarkEnd w:id="399"/>
      <w:bookmarkEnd w:id="400"/>
      <w:bookmarkEnd w:id="401"/>
      <w:bookmarkEnd w:id="402"/>
      <w:bookmarkEnd w:id="403"/>
      <w:bookmarkEnd w:id="404"/>
    </w:p>
    <w:p w14:paraId="711A059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饮用水水源监控系统，包括饮用水水源数据库、数据采集和传输系统。</w:t>
      </w:r>
    </w:p>
    <w:p w14:paraId="702FA46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①数据库</w:t>
      </w:r>
    </w:p>
    <w:p w14:paraId="2FE7818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主要包括日常水源监测数据，对水厂出、进水质监测数据，饮用水安全资料，事故及处理资料，宣传教育资料等，加强智能化、数据化、自动化管理。</w:t>
      </w:r>
    </w:p>
    <w:p w14:paraId="2AE8636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②数据监控中心</w:t>
      </w:r>
    </w:p>
    <w:p w14:paraId="02FA60A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每日一统计，每季一汇报，每年一总结。非正常情况下，及时向指挥中心汇报。</w:t>
      </w:r>
    </w:p>
    <w:p w14:paraId="700F6DA7">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405" w:name="bookmark107"/>
      <w:bookmarkEnd w:id="405"/>
      <w:bookmarkStart w:id="406" w:name="_Toc2573"/>
      <w:bookmarkStart w:id="407" w:name="_Toc29245"/>
      <w:bookmarkStart w:id="408" w:name="_Toc4244"/>
      <w:bookmarkStart w:id="409" w:name="_Toc31135"/>
      <w:bookmarkStart w:id="410" w:name="_Toc29942"/>
      <w:bookmarkStart w:id="411" w:name="_Toc24495"/>
      <w:r>
        <w:rPr>
          <w:rFonts w:ascii="仿宋" w:hAnsi="仿宋" w:eastAsia="仿宋" w:cs="仿宋"/>
          <w:b/>
          <w:bCs/>
          <w:color w:val="auto"/>
          <w:spacing w:val="0"/>
          <w:w w:val="100"/>
          <w:position w:val="0"/>
          <w:sz w:val="31"/>
          <w:szCs w:val="31"/>
          <w:highlight w:val="none"/>
        </w:rPr>
        <w:t>3.5水源水质情况</w:t>
      </w:r>
      <w:bookmarkEnd w:id="406"/>
      <w:bookmarkEnd w:id="407"/>
      <w:bookmarkEnd w:id="408"/>
      <w:bookmarkEnd w:id="409"/>
      <w:bookmarkEnd w:id="410"/>
      <w:bookmarkEnd w:id="411"/>
    </w:p>
    <w:p w14:paraId="346C914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val="en-US" w:eastAsia="zh-CN"/>
        </w:rPr>
        <w:t>根据《2025年黑龙江省生态环境质量公报》，西山水库水质类别满足《地表水环境质量标准》（GB3838-2002）中Ⅲ类要求，营养指数为轻度富营养，同比无明显变化</w:t>
      </w:r>
      <w:r>
        <w:rPr>
          <w:rFonts w:ascii="仿宋" w:hAnsi="仿宋" w:eastAsia="仿宋" w:cs="仿宋"/>
          <w:color w:val="auto"/>
          <w:spacing w:val="0"/>
          <w:w w:val="100"/>
          <w:position w:val="0"/>
          <w:sz w:val="28"/>
          <w:szCs w:val="28"/>
          <w:highlight w:val="none"/>
        </w:rPr>
        <w:t>。</w:t>
      </w:r>
    </w:p>
    <w:p w14:paraId="1E8971FC">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412" w:name="bookmark108"/>
      <w:bookmarkEnd w:id="412"/>
      <w:bookmarkStart w:id="413" w:name="_Toc18476"/>
      <w:bookmarkStart w:id="414" w:name="_Toc9892"/>
      <w:bookmarkStart w:id="415" w:name="_Toc6406"/>
      <w:bookmarkStart w:id="416" w:name="_Toc12364"/>
      <w:bookmarkStart w:id="417" w:name="_Toc30735"/>
      <w:bookmarkStart w:id="418" w:name="_Toc13722"/>
      <w:r>
        <w:rPr>
          <w:rFonts w:ascii="仿宋" w:hAnsi="仿宋" w:eastAsia="仿宋" w:cs="仿宋"/>
          <w:b/>
          <w:bCs/>
          <w:color w:val="auto"/>
          <w:spacing w:val="0"/>
          <w:w w:val="100"/>
          <w:position w:val="0"/>
          <w:sz w:val="31"/>
          <w:szCs w:val="31"/>
          <w:highlight w:val="none"/>
        </w:rPr>
        <w:t>3.6水源地环境管理情况</w:t>
      </w:r>
      <w:bookmarkEnd w:id="413"/>
      <w:bookmarkEnd w:id="414"/>
      <w:bookmarkEnd w:id="415"/>
      <w:bookmarkEnd w:id="416"/>
      <w:bookmarkEnd w:id="417"/>
      <w:bookmarkEnd w:id="418"/>
    </w:p>
    <w:p w14:paraId="40753A0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（1）保护区建设</w:t>
      </w:r>
    </w:p>
    <w:p w14:paraId="7E9F450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根据《饮用水源保护区划分技术规范》，乌翠区西山水库饮用水源地相应完成</w:t>
      </w:r>
      <w:r>
        <w:rPr>
          <w:rFonts w:hint="eastAsia" w:ascii="仿宋" w:hAnsi="仿宋" w:eastAsia="仿宋" w:cs="仿宋"/>
          <w:color w:val="auto"/>
          <w:spacing w:val="0"/>
          <w:w w:val="100"/>
          <w:position w:val="0"/>
          <w:sz w:val="28"/>
          <w:szCs w:val="28"/>
          <w:highlight w:val="none"/>
          <w:lang w:eastAsia="zh-CN"/>
        </w:rPr>
        <w:t>了</w:t>
      </w:r>
      <w:r>
        <w:rPr>
          <w:rFonts w:ascii="仿宋" w:hAnsi="仿宋" w:eastAsia="仿宋" w:cs="仿宋"/>
          <w:color w:val="auto"/>
          <w:spacing w:val="0"/>
          <w:w w:val="100"/>
          <w:position w:val="0"/>
          <w:sz w:val="28"/>
          <w:szCs w:val="28"/>
          <w:highlight w:val="none"/>
        </w:rPr>
        <w:t>乌翠区西山水库饮用水水源地一级、二级保护区及准保护区的划分，并在饮用水水源保护区依据规范设置保护区标志，一级保护区设置隔离防护和护栏，全面保护水源地一草一木。</w:t>
      </w:r>
    </w:p>
    <w:p w14:paraId="74E68AB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（2）监测能力</w:t>
      </w:r>
    </w:p>
    <w:p w14:paraId="50E0A33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乌翠区西山水库饮用水水源地由伊春市乌翠生态环境局</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水务局</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自来水厂等承担监测任务。</w:t>
      </w:r>
      <w:r>
        <w:rPr>
          <w:rFonts w:hint="eastAsia" w:ascii="仿宋" w:hAnsi="仿宋" w:eastAsia="仿宋" w:cs="仿宋"/>
          <w:color w:val="auto"/>
          <w:spacing w:val="0"/>
          <w:w w:val="100"/>
          <w:position w:val="0"/>
          <w:sz w:val="28"/>
          <w:szCs w:val="28"/>
          <w:highlight w:val="none"/>
        </w:rPr>
        <w:t>监测频次为每季度进行一次64项指标监测，每年进行一次水质全分析（111项）</w:t>
      </w:r>
      <w:r>
        <w:rPr>
          <w:rFonts w:ascii="仿宋" w:hAnsi="仿宋" w:eastAsia="仿宋" w:cs="仿宋"/>
          <w:color w:val="auto"/>
          <w:spacing w:val="0"/>
          <w:w w:val="100"/>
          <w:position w:val="0"/>
          <w:sz w:val="28"/>
          <w:szCs w:val="28"/>
          <w:highlight w:val="none"/>
        </w:rPr>
        <w:t>。监测数据出现</w:t>
      </w:r>
      <w:r>
        <w:rPr>
          <w:rFonts w:hint="eastAsia" w:ascii="仿宋" w:hAnsi="仿宋" w:eastAsia="仿宋" w:cs="仿宋"/>
          <w:color w:val="auto"/>
          <w:spacing w:val="0"/>
          <w:w w:val="100"/>
          <w:position w:val="0"/>
          <w:sz w:val="28"/>
          <w:szCs w:val="28"/>
          <w:highlight w:val="none"/>
          <w:lang w:eastAsia="zh-CN"/>
        </w:rPr>
        <w:t>超标情况时，进行</w:t>
      </w:r>
      <w:r>
        <w:rPr>
          <w:rFonts w:ascii="仿宋" w:hAnsi="仿宋" w:eastAsia="仿宋" w:cs="仿宋"/>
          <w:color w:val="auto"/>
          <w:spacing w:val="0"/>
          <w:w w:val="100"/>
          <w:position w:val="0"/>
          <w:sz w:val="28"/>
          <w:szCs w:val="28"/>
          <w:highlight w:val="none"/>
        </w:rPr>
        <w:t>加密监测，分析查找超标原因，并有针对性</w:t>
      </w:r>
      <w:r>
        <w:rPr>
          <w:rFonts w:hint="eastAsia" w:ascii="仿宋" w:hAnsi="仿宋" w:eastAsia="仿宋" w:cs="仿宋"/>
          <w:color w:val="auto"/>
          <w:spacing w:val="0"/>
          <w:w w:val="100"/>
          <w:position w:val="0"/>
          <w:sz w:val="28"/>
          <w:szCs w:val="28"/>
          <w:highlight w:val="none"/>
          <w:lang w:eastAsia="zh-CN"/>
        </w:rPr>
        <w:t>地</w:t>
      </w:r>
      <w:r>
        <w:rPr>
          <w:rFonts w:ascii="仿宋" w:hAnsi="仿宋" w:eastAsia="仿宋" w:cs="仿宋"/>
          <w:color w:val="auto"/>
          <w:spacing w:val="0"/>
          <w:w w:val="100"/>
          <w:position w:val="0"/>
          <w:sz w:val="28"/>
          <w:szCs w:val="28"/>
          <w:highlight w:val="none"/>
        </w:rPr>
        <w:t>及时整改。</w:t>
      </w:r>
    </w:p>
    <w:p w14:paraId="75F5B73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（3）管理措施</w:t>
      </w:r>
    </w:p>
    <w:p w14:paraId="0C958F1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集中式饮用水源地均按技术规范建立了一源一档的档案管理制度</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建立了日常巡查监管机制并定期开展巡查，按要求定期向社会公布水质数据及管理数据。</w:t>
      </w:r>
    </w:p>
    <w:p w14:paraId="29BC256E">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outlineLvl w:val="1"/>
        <w:rPr>
          <w:rFonts w:ascii="仿宋" w:hAnsi="仿宋" w:eastAsia="仿宋" w:cs="仿宋"/>
          <w:color w:val="auto"/>
          <w:spacing w:val="0"/>
          <w:w w:val="100"/>
          <w:position w:val="0"/>
          <w:sz w:val="31"/>
          <w:szCs w:val="31"/>
          <w:highlight w:val="none"/>
        </w:rPr>
      </w:pPr>
      <w:bookmarkStart w:id="419" w:name="bookmark109"/>
      <w:bookmarkEnd w:id="419"/>
      <w:bookmarkStart w:id="420" w:name="_Toc3487"/>
      <w:bookmarkStart w:id="421" w:name="_Toc7245"/>
      <w:bookmarkStart w:id="422" w:name="_Toc8233"/>
      <w:bookmarkStart w:id="423" w:name="_Toc25258"/>
      <w:bookmarkStart w:id="424" w:name="_Toc31738"/>
      <w:bookmarkStart w:id="425" w:name="_Toc21100"/>
      <w:r>
        <w:rPr>
          <w:rFonts w:ascii="仿宋" w:hAnsi="仿宋" w:eastAsia="仿宋" w:cs="仿宋"/>
          <w:b/>
          <w:bCs/>
          <w:color w:val="auto"/>
          <w:spacing w:val="0"/>
          <w:w w:val="100"/>
          <w:position w:val="0"/>
          <w:sz w:val="31"/>
          <w:szCs w:val="31"/>
          <w:highlight w:val="none"/>
        </w:rPr>
        <w:t>3.7环境功能区划情况</w:t>
      </w:r>
      <w:bookmarkEnd w:id="420"/>
      <w:bookmarkEnd w:id="421"/>
      <w:bookmarkEnd w:id="422"/>
      <w:bookmarkEnd w:id="423"/>
      <w:bookmarkEnd w:id="424"/>
      <w:bookmarkEnd w:id="425"/>
    </w:p>
    <w:p w14:paraId="5FAB6052">
      <w:pPr>
        <w:keepNext w:val="0"/>
        <w:keepLines w:val="0"/>
        <w:pageBreakBefore w:val="0"/>
        <w:widowControl/>
        <w:kinsoku/>
        <w:wordWrap/>
        <w:overflowPunct/>
        <w:topLinePunct w:val="0"/>
        <w:autoSpaceDE w:val="0"/>
        <w:autoSpaceDN w:val="0"/>
        <w:bidi w:val="0"/>
        <w:adjustRightInd w:val="0"/>
        <w:snapToGrid w:val="0"/>
        <w:spacing w:line="360" w:lineRule="auto"/>
        <w:ind w:lef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西山水库水源地保护区所在区域环境功能区划情况详见表3-6。</w:t>
      </w:r>
    </w:p>
    <w:p w14:paraId="2208344F">
      <w:pPr>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表3-6环境功能属性一览表</w:t>
      </w:r>
    </w:p>
    <w:tbl>
      <w:tblPr>
        <w:tblStyle w:val="13"/>
        <w:tblW w:w="8862" w:type="dxa"/>
        <w:tblInd w:w="8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2"/>
        <w:gridCol w:w="2975"/>
        <w:gridCol w:w="5065"/>
      </w:tblGrid>
      <w:tr w14:paraId="34CC0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822" w:type="dxa"/>
            <w:vAlign w:val="center"/>
          </w:tcPr>
          <w:p w14:paraId="2EA4926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序号</w:t>
            </w:r>
          </w:p>
        </w:tc>
        <w:tc>
          <w:tcPr>
            <w:tcW w:w="2975" w:type="dxa"/>
            <w:vAlign w:val="center"/>
          </w:tcPr>
          <w:p w14:paraId="1FFF6D4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功能区划名称</w:t>
            </w:r>
          </w:p>
        </w:tc>
        <w:tc>
          <w:tcPr>
            <w:tcW w:w="5065" w:type="dxa"/>
            <w:vAlign w:val="center"/>
          </w:tcPr>
          <w:p w14:paraId="2A84C97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所属类别</w:t>
            </w:r>
          </w:p>
        </w:tc>
      </w:tr>
      <w:tr w14:paraId="16B15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822" w:type="dxa"/>
            <w:vAlign w:val="center"/>
          </w:tcPr>
          <w:p w14:paraId="6EA92CF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w:t>
            </w:r>
          </w:p>
        </w:tc>
        <w:tc>
          <w:tcPr>
            <w:tcW w:w="2975" w:type="dxa"/>
            <w:vMerge w:val="restart"/>
            <w:tcBorders>
              <w:bottom w:val="nil"/>
            </w:tcBorders>
            <w:vAlign w:val="center"/>
          </w:tcPr>
          <w:p w14:paraId="1D15AA8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水环境功能区</w:t>
            </w:r>
          </w:p>
        </w:tc>
        <w:tc>
          <w:tcPr>
            <w:tcW w:w="5065" w:type="dxa"/>
            <w:vAlign w:val="center"/>
          </w:tcPr>
          <w:p w14:paraId="6C1F589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项目所在区域执行《地表水环境质量标准》</w:t>
            </w:r>
          </w:p>
          <w:p w14:paraId="6100F51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（GB3838-2002）中Ⅲ类标准。</w:t>
            </w:r>
          </w:p>
        </w:tc>
      </w:tr>
      <w:tr w14:paraId="4880F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22" w:type="dxa"/>
            <w:vAlign w:val="center"/>
          </w:tcPr>
          <w:p w14:paraId="3792F96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2975" w:type="dxa"/>
            <w:vMerge w:val="continue"/>
            <w:tcBorders>
              <w:top w:val="nil"/>
            </w:tcBorders>
            <w:vAlign w:val="center"/>
          </w:tcPr>
          <w:p w14:paraId="4EF9EDE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065" w:type="dxa"/>
            <w:vAlign w:val="center"/>
          </w:tcPr>
          <w:p w14:paraId="3A1D2A5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项目所在区域执行《地下水质量标准》</w:t>
            </w:r>
          </w:p>
          <w:p w14:paraId="0EEE4D7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（GB/T14848-2017）中Ⅲ类标准。</w:t>
            </w:r>
          </w:p>
        </w:tc>
      </w:tr>
      <w:tr w14:paraId="4EA6A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822" w:type="dxa"/>
            <w:vAlign w:val="center"/>
          </w:tcPr>
          <w:p w14:paraId="02A18E1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3</w:t>
            </w:r>
          </w:p>
        </w:tc>
        <w:tc>
          <w:tcPr>
            <w:tcW w:w="2975" w:type="dxa"/>
            <w:vAlign w:val="center"/>
          </w:tcPr>
          <w:p w14:paraId="21C1FD4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环境空气质量功能区</w:t>
            </w:r>
          </w:p>
        </w:tc>
        <w:tc>
          <w:tcPr>
            <w:tcW w:w="5065" w:type="dxa"/>
            <w:vAlign w:val="center"/>
          </w:tcPr>
          <w:p w14:paraId="73841ED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项目所在区域执行《环境空气质量标准》</w:t>
            </w:r>
          </w:p>
          <w:p w14:paraId="7568A2E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w:t>
            </w:r>
            <w:r>
              <w:rPr>
                <w:rFonts w:hint="eastAsia" w:ascii="仿宋" w:hAnsi="仿宋" w:eastAsia="仿宋" w:cs="仿宋"/>
                <w:color w:val="auto"/>
                <w:spacing w:val="0"/>
                <w:w w:val="100"/>
                <w:position w:val="0"/>
                <w:sz w:val="24"/>
                <w:szCs w:val="24"/>
                <w:highlight w:val="none"/>
                <w:lang w:eastAsia="zh-CN"/>
              </w:rPr>
              <w:t>GB 3095-2026</w:t>
            </w:r>
            <w:r>
              <w:rPr>
                <w:rFonts w:ascii="仿宋" w:hAnsi="仿宋" w:eastAsia="仿宋" w:cs="仿宋"/>
                <w:color w:val="auto"/>
                <w:spacing w:val="0"/>
                <w:w w:val="100"/>
                <w:position w:val="0"/>
                <w:sz w:val="24"/>
                <w:szCs w:val="24"/>
                <w:highlight w:val="none"/>
              </w:rPr>
              <w:t>）中二级标准。</w:t>
            </w:r>
          </w:p>
        </w:tc>
      </w:tr>
      <w:tr w14:paraId="7FD25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822" w:type="dxa"/>
            <w:vAlign w:val="center"/>
          </w:tcPr>
          <w:p w14:paraId="66B4E5F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4</w:t>
            </w:r>
          </w:p>
        </w:tc>
        <w:tc>
          <w:tcPr>
            <w:tcW w:w="2975" w:type="dxa"/>
            <w:vAlign w:val="center"/>
          </w:tcPr>
          <w:p w14:paraId="297401D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声环境功能区</w:t>
            </w:r>
          </w:p>
        </w:tc>
        <w:tc>
          <w:tcPr>
            <w:tcW w:w="5065" w:type="dxa"/>
            <w:vAlign w:val="center"/>
          </w:tcPr>
          <w:p w14:paraId="3511639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执行《工业企业厂界环境噪声排放标准》（GB12348-2008）中2类标准。所在区域环境</w:t>
            </w:r>
          </w:p>
          <w:p w14:paraId="561FB5E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噪声达到相应标准。</w:t>
            </w:r>
          </w:p>
        </w:tc>
      </w:tr>
      <w:tr w14:paraId="062D8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22" w:type="dxa"/>
            <w:vAlign w:val="center"/>
          </w:tcPr>
          <w:p w14:paraId="77DD83A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5</w:t>
            </w:r>
          </w:p>
        </w:tc>
        <w:tc>
          <w:tcPr>
            <w:tcW w:w="2975" w:type="dxa"/>
            <w:vAlign w:val="center"/>
          </w:tcPr>
          <w:p w14:paraId="4A36D25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是否污水处理厂集水范围</w:t>
            </w:r>
          </w:p>
        </w:tc>
        <w:tc>
          <w:tcPr>
            <w:tcW w:w="5065" w:type="dxa"/>
            <w:vAlign w:val="center"/>
          </w:tcPr>
          <w:p w14:paraId="3989F90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否</w:t>
            </w:r>
          </w:p>
        </w:tc>
      </w:tr>
      <w:tr w14:paraId="496EF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822" w:type="dxa"/>
            <w:vAlign w:val="center"/>
          </w:tcPr>
          <w:p w14:paraId="668CDA7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6</w:t>
            </w:r>
          </w:p>
        </w:tc>
        <w:tc>
          <w:tcPr>
            <w:tcW w:w="2975" w:type="dxa"/>
            <w:vAlign w:val="center"/>
          </w:tcPr>
          <w:p w14:paraId="46F732B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是否基本生态控制线范围</w:t>
            </w:r>
          </w:p>
        </w:tc>
        <w:tc>
          <w:tcPr>
            <w:tcW w:w="5065" w:type="dxa"/>
            <w:vAlign w:val="center"/>
          </w:tcPr>
          <w:p w14:paraId="6CA516A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是</w:t>
            </w:r>
          </w:p>
        </w:tc>
      </w:tr>
      <w:tr w14:paraId="03A87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22" w:type="dxa"/>
            <w:vAlign w:val="center"/>
          </w:tcPr>
          <w:p w14:paraId="0A0C976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6</w:t>
            </w:r>
          </w:p>
        </w:tc>
        <w:tc>
          <w:tcPr>
            <w:tcW w:w="2975" w:type="dxa"/>
            <w:vAlign w:val="center"/>
          </w:tcPr>
          <w:p w14:paraId="75E5DAE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是否基本农田保护区</w:t>
            </w:r>
          </w:p>
        </w:tc>
        <w:tc>
          <w:tcPr>
            <w:tcW w:w="5065" w:type="dxa"/>
            <w:vAlign w:val="center"/>
          </w:tcPr>
          <w:p w14:paraId="372F125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否</w:t>
            </w:r>
          </w:p>
        </w:tc>
      </w:tr>
      <w:tr w14:paraId="69A4E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22" w:type="dxa"/>
            <w:tcBorders>
              <w:bottom w:val="single" w:color="000000" w:sz="4" w:space="0"/>
            </w:tcBorders>
            <w:vAlign w:val="center"/>
          </w:tcPr>
          <w:p w14:paraId="101C300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7</w:t>
            </w:r>
          </w:p>
        </w:tc>
        <w:tc>
          <w:tcPr>
            <w:tcW w:w="2975" w:type="dxa"/>
            <w:tcBorders>
              <w:bottom w:val="single" w:color="000000" w:sz="4" w:space="0"/>
            </w:tcBorders>
            <w:vAlign w:val="center"/>
          </w:tcPr>
          <w:p w14:paraId="42BDAFB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是否风景保护区</w:t>
            </w:r>
          </w:p>
        </w:tc>
        <w:tc>
          <w:tcPr>
            <w:tcW w:w="5065" w:type="dxa"/>
            <w:tcBorders>
              <w:bottom w:val="single" w:color="000000" w:sz="4" w:space="0"/>
            </w:tcBorders>
            <w:vAlign w:val="center"/>
          </w:tcPr>
          <w:p w14:paraId="7ED3AEF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否</w:t>
            </w:r>
          </w:p>
        </w:tc>
      </w:tr>
      <w:tr w14:paraId="004CE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22" w:type="dxa"/>
            <w:tcBorders>
              <w:top w:val="single" w:color="000000" w:sz="4" w:space="0"/>
            </w:tcBorders>
            <w:vAlign w:val="center"/>
          </w:tcPr>
          <w:p w14:paraId="5B5DC73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8</w:t>
            </w:r>
          </w:p>
        </w:tc>
        <w:tc>
          <w:tcPr>
            <w:tcW w:w="2975" w:type="dxa"/>
            <w:tcBorders>
              <w:top w:val="single" w:color="000000" w:sz="4" w:space="0"/>
            </w:tcBorders>
            <w:vAlign w:val="center"/>
          </w:tcPr>
          <w:p w14:paraId="60D473A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土地利用规划</w:t>
            </w:r>
          </w:p>
        </w:tc>
        <w:tc>
          <w:tcPr>
            <w:tcW w:w="5065" w:type="dxa"/>
            <w:tcBorders>
              <w:top w:val="single" w:color="000000" w:sz="4" w:space="0"/>
            </w:tcBorders>
            <w:vAlign w:val="center"/>
          </w:tcPr>
          <w:p w14:paraId="48A8EF5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否</w:t>
            </w:r>
          </w:p>
        </w:tc>
      </w:tr>
    </w:tbl>
    <w:p w14:paraId="534B2901">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426" w:name="_Toc21680"/>
      <w:bookmarkStart w:id="427" w:name="_Toc18153"/>
      <w:r>
        <w:rPr>
          <w:rFonts w:ascii="仿宋" w:hAnsi="仿宋" w:eastAsia="仿宋" w:cs="仿宋"/>
          <w:b/>
          <w:bCs/>
          <w:color w:val="auto"/>
          <w:spacing w:val="0"/>
          <w:w w:val="100"/>
          <w:position w:val="0"/>
          <w:sz w:val="28"/>
          <w:szCs w:val="28"/>
          <w:highlight w:val="none"/>
        </w:rPr>
        <w:t>3.</w:t>
      </w:r>
      <w:r>
        <w:rPr>
          <w:rFonts w:hint="eastAsia" w:ascii="仿宋" w:hAnsi="仿宋" w:eastAsia="仿宋" w:cs="仿宋"/>
          <w:b/>
          <w:bCs/>
          <w:color w:val="auto"/>
          <w:spacing w:val="0"/>
          <w:w w:val="100"/>
          <w:position w:val="0"/>
          <w:sz w:val="28"/>
          <w:szCs w:val="28"/>
          <w:highlight w:val="none"/>
          <w:lang w:val="en-US" w:eastAsia="zh-CN"/>
        </w:rPr>
        <w:t>7</w:t>
      </w:r>
      <w:r>
        <w:rPr>
          <w:rFonts w:ascii="仿宋" w:hAnsi="仿宋" w:eastAsia="仿宋" w:cs="仿宋"/>
          <w:b/>
          <w:bCs/>
          <w:color w:val="auto"/>
          <w:spacing w:val="0"/>
          <w:w w:val="100"/>
          <w:position w:val="0"/>
          <w:sz w:val="28"/>
          <w:szCs w:val="28"/>
          <w:highlight w:val="none"/>
        </w:rPr>
        <w:t>.1历史上曾经发生过的突发环境事件及其应急处置</w:t>
      </w:r>
      <w:bookmarkEnd w:id="426"/>
      <w:bookmarkEnd w:id="427"/>
    </w:p>
    <w:p w14:paraId="41C7153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根据现场了解和资料收集，乌翠区西山水库水源地从未发生过涉危化品生产安全事故、交通安全事故等涉水突发环境事件。</w:t>
      </w:r>
    </w:p>
    <w:p w14:paraId="297BED37">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428" w:name="bookmark110"/>
      <w:bookmarkEnd w:id="428"/>
      <w:bookmarkStart w:id="429" w:name="_Toc1934"/>
      <w:bookmarkStart w:id="430" w:name="_Toc24938"/>
      <w:bookmarkStart w:id="431" w:name="_Toc11505"/>
      <w:bookmarkStart w:id="432" w:name="_Toc4885"/>
      <w:bookmarkStart w:id="433" w:name="_Toc18158"/>
      <w:bookmarkStart w:id="434" w:name="_Toc23710"/>
      <w:r>
        <w:rPr>
          <w:rFonts w:ascii="仿宋" w:hAnsi="仿宋" w:eastAsia="仿宋" w:cs="仿宋"/>
          <w:b/>
          <w:bCs/>
          <w:color w:val="auto"/>
          <w:spacing w:val="0"/>
          <w:w w:val="100"/>
          <w:position w:val="0"/>
          <w:sz w:val="31"/>
          <w:szCs w:val="31"/>
          <w:highlight w:val="none"/>
        </w:rPr>
        <w:t>3.8水源地周边环境风险受体情况</w:t>
      </w:r>
      <w:bookmarkEnd w:id="429"/>
      <w:bookmarkEnd w:id="430"/>
      <w:bookmarkEnd w:id="431"/>
      <w:bookmarkEnd w:id="432"/>
      <w:bookmarkEnd w:id="433"/>
      <w:bookmarkEnd w:id="434"/>
    </w:p>
    <w:p w14:paraId="31A4A02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环境风险受体分为大气环境风险受体、水环境风险受体和土壤环境风险受体。其中，大气环境风险受体主要包括居住、医疗卫生、文化教育、科研、行政办公、重要基础设施、企业等主要功能区域内的人群、保护单位、植被等，按人口数量进行指标量化；水环境风险受体主要包括饮用水水源保护区、自来水厂取水口、自然保护区、重要湿地、特殊生态系统、水产养殖区、鱼虾产卵场、天然渔场等区域，可按其脆弱性和敏感性进行级别划分；土壤环境风险受体主要为周边的基本农田保护区、居住商用地等区域。西山水库作为饮用水水源地，自身属于水环境风险受体。</w:t>
      </w:r>
    </w:p>
    <w:p w14:paraId="78C9F759">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435" w:name="bookmark111"/>
      <w:bookmarkEnd w:id="435"/>
      <w:bookmarkStart w:id="436" w:name="_Toc20120"/>
      <w:bookmarkStart w:id="437" w:name="_Toc5238"/>
      <w:bookmarkStart w:id="438" w:name="_Toc31231"/>
      <w:bookmarkStart w:id="439" w:name="_Toc10229"/>
      <w:bookmarkStart w:id="440" w:name="_Toc2429"/>
      <w:bookmarkStart w:id="441" w:name="_Toc31435"/>
      <w:r>
        <w:rPr>
          <w:rFonts w:ascii="仿宋" w:hAnsi="仿宋" w:eastAsia="仿宋" w:cs="仿宋"/>
          <w:b/>
          <w:bCs/>
          <w:color w:val="auto"/>
          <w:spacing w:val="0"/>
          <w:w w:val="100"/>
          <w:position w:val="0"/>
          <w:sz w:val="31"/>
          <w:szCs w:val="31"/>
          <w:highlight w:val="none"/>
        </w:rPr>
        <w:t>3.9水源地风险源情况</w:t>
      </w:r>
      <w:bookmarkEnd w:id="436"/>
      <w:bookmarkEnd w:id="437"/>
      <w:bookmarkEnd w:id="438"/>
      <w:bookmarkEnd w:id="439"/>
      <w:bookmarkEnd w:id="440"/>
      <w:bookmarkEnd w:id="441"/>
    </w:p>
    <w:p w14:paraId="53FD46FF">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442" w:name="_Toc26894"/>
      <w:bookmarkStart w:id="443" w:name="_Toc9509"/>
      <w:r>
        <w:rPr>
          <w:rFonts w:ascii="仿宋" w:hAnsi="仿宋" w:eastAsia="仿宋" w:cs="仿宋"/>
          <w:b/>
          <w:bCs/>
          <w:color w:val="auto"/>
          <w:spacing w:val="0"/>
          <w:w w:val="100"/>
          <w:position w:val="0"/>
          <w:sz w:val="28"/>
          <w:szCs w:val="28"/>
          <w:highlight w:val="none"/>
        </w:rPr>
        <w:t>3.9.1固定源环境风险</w:t>
      </w:r>
      <w:bookmarkEnd w:id="442"/>
      <w:bookmarkEnd w:id="443"/>
    </w:p>
    <w:p w14:paraId="4E38A09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固定源主要包括工矿企事业单位、石油化工企业及运输石化、化工产品的管线、污水处理厂、尾矿库等，根据调查，西山水库集中式饮用水水源保护区内未有煤矿、砂石等工矿企业及不存在石油化工企业等，因此不存在固定源污染情况。</w:t>
      </w:r>
    </w:p>
    <w:p w14:paraId="07F2E4E7">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444" w:name="_Toc21052"/>
      <w:bookmarkStart w:id="445" w:name="_Toc2732"/>
      <w:r>
        <w:rPr>
          <w:rFonts w:ascii="仿宋" w:hAnsi="仿宋" w:eastAsia="仿宋" w:cs="仿宋"/>
          <w:b/>
          <w:bCs/>
          <w:color w:val="auto"/>
          <w:spacing w:val="0"/>
          <w:w w:val="100"/>
          <w:position w:val="0"/>
          <w:sz w:val="28"/>
          <w:szCs w:val="28"/>
          <w:highlight w:val="none"/>
        </w:rPr>
        <w:t>3.9.2流动源环境风险</w:t>
      </w:r>
      <w:bookmarkEnd w:id="444"/>
      <w:bookmarkEnd w:id="445"/>
    </w:p>
    <w:p w14:paraId="627D749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流动源环境风险包括通过公路、铁路、水路运输有可能影响水源地的危险化学品和危险废物等有害有毒物质。在危险物品的运输过程中由于自然或人为因素造成交通事故，危险物品的</w:t>
      </w:r>
      <w:r>
        <w:rPr>
          <w:rFonts w:hint="eastAsia" w:ascii="仿宋" w:hAnsi="仿宋" w:eastAsia="仿宋" w:cs="仿宋"/>
          <w:color w:val="auto"/>
          <w:spacing w:val="0"/>
          <w:w w:val="100"/>
          <w:position w:val="0"/>
          <w:sz w:val="28"/>
          <w:szCs w:val="28"/>
          <w:highlight w:val="none"/>
          <w:lang w:eastAsia="zh-CN"/>
        </w:rPr>
        <w:t>泄漏</w:t>
      </w:r>
      <w:r>
        <w:rPr>
          <w:rFonts w:ascii="仿宋" w:hAnsi="仿宋" w:eastAsia="仿宋" w:cs="仿宋"/>
          <w:color w:val="auto"/>
          <w:spacing w:val="0"/>
          <w:w w:val="100"/>
          <w:position w:val="0"/>
          <w:sz w:val="28"/>
          <w:szCs w:val="28"/>
          <w:highlight w:val="none"/>
        </w:rPr>
        <w:t>未能及时得到解决而进入河流，可对下游水源地水质造成一定的影响。</w:t>
      </w:r>
    </w:p>
    <w:p w14:paraId="005BCDC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据现场调查，西山水库集中式饮用水水源地附近存在</w:t>
      </w:r>
      <w:r>
        <w:rPr>
          <w:rFonts w:hint="eastAsia" w:ascii="仿宋" w:hAnsi="仿宋" w:eastAsia="仿宋" w:cs="仿宋"/>
          <w:color w:val="auto"/>
          <w:spacing w:val="0"/>
          <w:w w:val="100"/>
          <w:position w:val="0"/>
          <w:sz w:val="28"/>
          <w:szCs w:val="28"/>
          <w:highlight w:val="none"/>
          <w:lang w:eastAsia="zh-CN"/>
        </w:rPr>
        <w:t>连通</w:t>
      </w:r>
      <w:r>
        <w:rPr>
          <w:rFonts w:ascii="仿宋" w:hAnsi="仿宋" w:eastAsia="仿宋" w:cs="仿宋"/>
          <w:color w:val="auto"/>
          <w:spacing w:val="0"/>
          <w:w w:val="100"/>
          <w:position w:val="0"/>
          <w:sz w:val="28"/>
          <w:szCs w:val="28"/>
          <w:highlight w:val="none"/>
        </w:rPr>
        <w:t>周边乡镇的县道</w:t>
      </w:r>
      <w:r>
        <w:rPr>
          <w:rFonts w:hint="eastAsia" w:ascii="仿宋" w:hAnsi="仿宋" w:eastAsia="仿宋" w:cs="仿宋"/>
          <w:color w:val="auto"/>
          <w:spacing w:val="0"/>
          <w:w w:val="100"/>
          <w:position w:val="0"/>
          <w:sz w:val="28"/>
          <w:szCs w:val="28"/>
          <w:highlight w:val="none"/>
          <w:lang w:eastAsia="zh-CN"/>
        </w:rPr>
        <w:t>、鹤哈高速、G332国道等公路</w:t>
      </w:r>
      <w:r>
        <w:rPr>
          <w:rFonts w:ascii="仿宋" w:hAnsi="仿宋" w:eastAsia="仿宋" w:cs="仿宋"/>
          <w:color w:val="auto"/>
          <w:spacing w:val="0"/>
          <w:w w:val="100"/>
          <w:position w:val="0"/>
          <w:sz w:val="28"/>
          <w:szCs w:val="28"/>
          <w:highlight w:val="none"/>
        </w:rPr>
        <w:t>，</w:t>
      </w:r>
      <w:r>
        <w:rPr>
          <w:rFonts w:hint="eastAsia" w:ascii="仿宋" w:hAnsi="仿宋" w:eastAsia="仿宋" w:cs="仿宋"/>
          <w:color w:val="auto"/>
          <w:spacing w:val="0"/>
          <w:w w:val="100"/>
          <w:position w:val="0"/>
          <w:sz w:val="28"/>
          <w:szCs w:val="28"/>
          <w:highlight w:val="none"/>
          <w:lang w:val="en-US" w:eastAsia="zh-CN"/>
        </w:rPr>
        <w:t>存在危险品运输情况</w:t>
      </w:r>
      <w:r>
        <w:rPr>
          <w:rFonts w:ascii="仿宋" w:hAnsi="仿宋" w:eastAsia="仿宋" w:cs="仿宋"/>
          <w:color w:val="auto"/>
          <w:spacing w:val="0"/>
          <w:w w:val="100"/>
          <w:position w:val="0"/>
          <w:sz w:val="28"/>
          <w:szCs w:val="28"/>
          <w:highlight w:val="none"/>
        </w:rPr>
        <w:t>，发生意外事故时，存在污染保护区水体的情况，造成乌翠区饮用水供给受到影响。</w:t>
      </w:r>
    </w:p>
    <w:p w14:paraId="2F038610">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446" w:name="_Toc4053"/>
      <w:bookmarkStart w:id="447" w:name="_Toc20801"/>
      <w:r>
        <w:rPr>
          <w:rFonts w:ascii="仿宋" w:hAnsi="仿宋" w:eastAsia="仿宋" w:cs="仿宋"/>
          <w:b/>
          <w:bCs/>
          <w:color w:val="auto"/>
          <w:spacing w:val="0"/>
          <w:w w:val="100"/>
          <w:position w:val="0"/>
          <w:sz w:val="28"/>
          <w:szCs w:val="28"/>
          <w:highlight w:val="none"/>
        </w:rPr>
        <w:t>3.9.3非点源环境风险</w:t>
      </w:r>
      <w:bookmarkEnd w:id="446"/>
      <w:bookmarkEnd w:id="447"/>
    </w:p>
    <w:p w14:paraId="1A2E890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根据现场踏勘与调研收集信息，结合保护区划定范围进行分析，西山水库集中式饮用水水源地一级保护区</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二级保护区内不涉及居民区。准保护区现有抚育经营所、冲锋经营所、一江村，翠峦经营所、尖山河林场，共有住户141户、在册人口292人，污水排放量5202.01m</w:t>
      </w:r>
      <w:r>
        <w:rPr>
          <w:rFonts w:hint="default" w:ascii="Times New Roman" w:hAnsi="Times New Roman" w:eastAsia="宋体" w:cs="Times New Roman"/>
          <w:color w:val="auto"/>
          <w:spacing w:val="0"/>
          <w:w w:val="100"/>
          <w:position w:val="0"/>
          <w:sz w:val="28"/>
          <w:szCs w:val="28"/>
          <w:highlight w:val="none"/>
          <w:vertAlign w:val="superscript"/>
          <w:lang w:val="en-US" w:eastAsia="zh-CN"/>
        </w:rPr>
        <w:t>3</w:t>
      </w:r>
      <w:r>
        <w:rPr>
          <w:rFonts w:ascii="仿宋" w:hAnsi="仿宋" w:eastAsia="仿宋" w:cs="仿宋"/>
          <w:color w:val="auto"/>
          <w:spacing w:val="0"/>
          <w:w w:val="100"/>
          <w:position w:val="0"/>
          <w:sz w:val="28"/>
          <w:szCs w:val="28"/>
          <w:highlight w:val="none"/>
        </w:rPr>
        <w:t>/a，由于目前未建污水管网对污水进行收集，因此村民产生的生活污水均未经处理直接排放，将通过地表径流和地下渗漏方式对水体环境造成污染，但由于农村生活污水的产生较为分散，经过沿途入渗、蒸发和植被吸收等过程后，直接进入西山水库的生活污水量较少。此外，附近居民存在乱扔点滴瓶等垃圾</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固废等污染物进入水源保护区</w:t>
      </w:r>
      <w:r>
        <w:rPr>
          <w:rFonts w:hint="eastAsia" w:ascii="仿宋" w:hAnsi="仿宋" w:eastAsia="仿宋" w:cs="仿宋"/>
          <w:color w:val="auto"/>
          <w:spacing w:val="0"/>
          <w:w w:val="100"/>
          <w:position w:val="0"/>
          <w:sz w:val="28"/>
          <w:szCs w:val="28"/>
          <w:highlight w:val="none"/>
          <w:lang w:eastAsia="zh-CN"/>
        </w:rPr>
        <w:t>的情况，</w:t>
      </w:r>
      <w:r>
        <w:rPr>
          <w:rFonts w:ascii="仿宋" w:hAnsi="仿宋" w:eastAsia="仿宋" w:cs="仿宋"/>
          <w:color w:val="auto"/>
          <w:spacing w:val="0"/>
          <w:w w:val="100"/>
          <w:position w:val="0"/>
          <w:sz w:val="28"/>
          <w:szCs w:val="28"/>
          <w:highlight w:val="none"/>
        </w:rPr>
        <w:t>造成水源地水体污染。</w:t>
      </w:r>
    </w:p>
    <w:p w14:paraId="49D10CB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西山水库水源地保护区范围内传统种植的农作物有</w:t>
      </w:r>
      <w:r>
        <w:rPr>
          <w:rFonts w:hint="eastAsia" w:ascii="仿宋" w:hAnsi="仿宋" w:eastAsia="仿宋" w:cs="仿宋"/>
          <w:color w:val="auto"/>
          <w:spacing w:val="0"/>
          <w:w w:val="100"/>
          <w:position w:val="0"/>
          <w:sz w:val="28"/>
          <w:szCs w:val="28"/>
          <w:highlight w:val="none"/>
          <w:lang w:val="en-US" w:eastAsia="zh-CN"/>
        </w:rPr>
        <w:t>大豆、玉米</w:t>
      </w:r>
      <w:r>
        <w:rPr>
          <w:rFonts w:ascii="仿宋" w:hAnsi="仿宋" w:eastAsia="仿宋" w:cs="仿宋"/>
          <w:color w:val="auto"/>
          <w:spacing w:val="0"/>
          <w:w w:val="100"/>
          <w:position w:val="0"/>
          <w:sz w:val="28"/>
          <w:szCs w:val="28"/>
          <w:highlight w:val="none"/>
        </w:rPr>
        <w:t>等。在农业生产活动中，由于施肥、施药等生产行为造成氮和磷等营养物质、农药、重金属及其他有机和无机污染物质、土壤颗粒等沉积物通过农田地表径流和地下渗漏</w:t>
      </w:r>
      <w:r>
        <w:rPr>
          <w:rFonts w:hint="eastAsia" w:ascii="仿宋" w:hAnsi="仿宋" w:eastAsia="仿宋" w:cs="仿宋"/>
          <w:color w:val="auto"/>
          <w:spacing w:val="0"/>
          <w:w w:val="100"/>
          <w:position w:val="0"/>
          <w:sz w:val="28"/>
          <w:szCs w:val="28"/>
          <w:highlight w:val="none"/>
          <w:lang w:eastAsia="zh-CN"/>
        </w:rPr>
        <w:t>方式</w:t>
      </w:r>
      <w:r>
        <w:rPr>
          <w:rFonts w:ascii="仿宋" w:hAnsi="仿宋" w:eastAsia="仿宋" w:cs="仿宋"/>
          <w:color w:val="auto"/>
          <w:spacing w:val="0"/>
          <w:w w:val="100"/>
          <w:position w:val="0"/>
          <w:sz w:val="28"/>
          <w:szCs w:val="28"/>
          <w:highlight w:val="none"/>
        </w:rPr>
        <w:t>进入水体，同时随着农村青壮年劳动力外出打工，农业生产劳动力削弱，施用农家肥的农户越来越少，从而导致施用氮、磷等肥料</w:t>
      </w:r>
      <w:r>
        <w:rPr>
          <w:rFonts w:hint="eastAsia" w:ascii="仿宋" w:hAnsi="仿宋" w:eastAsia="仿宋" w:cs="仿宋"/>
          <w:color w:val="auto"/>
          <w:spacing w:val="0"/>
          <w:w w:val="100"/>
          <w:position w:val="0"/>
          <w:sz w:val="28"/>
          <w:szCs w:val="28"/>
          <w:highlight w:val="none"/>
          <w:lang w:eastAsia="zh-CN"/>
        </w:rPr>
        <w:t>的情况逐步</w:t>
      </w:r>
      <w:r>
        <w:rPr>
          <w:rFonts w:ascii="仿宋" w:hAnsi="仿宋" w:eastAsia="仿宋" w:cs="仿宋"/>
          <w:color w:val="auto"/>
          <w:spacing w:val="0"/>
          <w:w w:val="100"/>
          <w:position w:val="0"/>
          <w:sz w:val="28"/>
          <w:szCs w:val="28"/>
          <w:highlight w:val="none"/>
        </w:rPr>
        <w:t>加剧，水体周边农业面源污染量有增加的趋势。</w:t>
      </w:r>
    </w:p>
    <w:p w14:paraId="0E35C6E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根据调查</w:t>
      </w:r>
      <w:r>
        <w:rPr>
          <w:rFonts w:ascii="仿宋" w:hAnsi="仿宋" w:eastAsia="仿宋" w:cs="仿宋"/>
          <w:color w:val="auto"/>
          <w:spacing w:val="0"/>
          <w:w w:val="100"/>
          <w:position w:val="0"/>
          <w:sz w:val="28"/>
          <w:szCs w:val="28"/>
          <w:highlight w:val="none"/>
        </w:rPr>
        <w:t>，保护区内无规模化的畜禽养殖，各乡村的畜禽散养户产生的畜禽粪便大部分通过化粪池收集处理后作为肥料施用于农田，不直接排入水体。从各种畜禽粪便产生的特点看，鸡粪便产生量少，便于收集处置，不用水冲洗鸡圈，基本无废水产生。养猪户需要定期用水冲洗猪圈，除部分农户将其作为产沼原料外，大多直接排放。</w:t>
      </w:r>
    </w:p>
    <w:p w14:paraId="3FFBC3E7">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rPr>
      </w:pPr>
      <w:bookmarkStart w:id="448" w:name="_Toc16375"/>
      <w:bookmarkStart w:id="449" w:name="_Toc22286"/>
      <w:r>
        <w:rPr>
          <w:rFonts w:hint="default" w:ascii="Times New Roman" w:hAnsi="Times New Roman" w:eastAsia="仿宋" w:cs="Times New Roman"/>
          <w:color w:val="auto"/>
          <w:spacing w:val="0"/>
          <w:w w:val="100"/>
          <w:position w:val="0"/>
          <w:sz w:val="28"/>
          <w:szCs w:val="28"/>
          <w:highlight w:val="none"/>
        </w:rPr>
        <w:t>3.9.</w:t>
      </w:r>
      <w:r>
        <w:rPr>
          <w:rFonts w:hint="eastAsia" w:ascii="Times New Roman" w:hAnsi="Times New Roman" w:eastAsia="仿宋" w:cs="Times New Roman"/>
          <w:color w:val="auto"/>
          <w:spacing w:val="0"/>
          <w:w w:val="100"/>
          <w:position w:val="0"/>
          <w:sz w:val="28"/>
          <w:szCs w:val="28"/>
          <w:highlight w:val="none"/>
          <w:lang w:val="en-US" w:eastAsia="zh-CN"/>
        </w:rPr>
        <w:t>4</w:t>
      </w:r>
      <w:r>
        <w:rPr>
          <w:rFonts w:hint="default" w:ascii="Times New Roman" w:hAnsi="Times New Roman" w:eastAsia="仿宋" w:cs="Times New Roman"/>
          <w:color w:val="auto"/>
          <w:spacing w:val="0"/>
          <w:w w:val="100"/>
          <w:position w:val="0"/>
          <w:sz w:val="28"/>
          <w:szCs w:val="28"/>
          <w:highlight w:val="none"/>
        </w:rPr>
        <w:t>流域水污染环境风险</w:t>
      </w:r>
      <w:bookmarkEnd w:id="448"/>
      <w:bookmarkEnd w:id="449"/>
    </w:p>
    <w:p w14:paraId="11F532B9">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根据调查，二级保护区、准保护区存在农田，面积共约1.0km</w:t>
      </w:r>
      <w:r>
        <w:rPr>
          <w:rFonts w:hint="eastAsia" w:ascii="仿宋" w:hAnsi="仿宋" w:eastAsia="仿宋" w:cs="仿宋"/>
          <w:color w:val="auto"/>
          <w:spacing w:val="0"/>
          <w:w w:val="100"/>
          <w:position w:val="0"/>
          <w:sz w:val="28"/>
          <w:szCs w:val="28"/>
          <w:highlight w:val="none"/>
          <w:vertAlign w:val="superscript"/>
          <w:lang w:val="en-US" w:eastAsia="zh-CN"/>
        </w:rPr>
        <w:t>2</w:t>
      </w:r>
      <w:r>
        <w:rPr>
          <w:rFonts w:ascii="仿宋" w:hAnsi="仿宋" w:eastAsia="仿宋" w:cs="仿宋"/>
          <w:color w:val="auto"/>
          <w:spacing w:val="0"/>
          <w:w w:val="100"/>
          <w:position w:val="0"/>
          <w:sz w:val="28"/>
          <w:szCs w:val="28"/>
          <w:highlight w:val="none"/>
        </w:rPr>
        <w:t>，农田生产过程中农药或化肥的施用，受雨水冲刷或地表径流等致使水库中的氮、磷元素超标，此外，水源地周围植物净化拦截带面积小，均导致水体中的大量浮游生物死亡，加速水体富营养化，引起水源地的水体污染灾害的发生。</w:t>
      </w:r>
    </w:p>
    <w:p w14:paraId="20B8805E">
      <w:pPr>
        <w:keepNext w:val="0"/>
        <w:keepLines w:val="0"/>
        <w:pageBreakBefore w:val="0"/>
        <w:widowControl/>
        <w:kinsoku/>
        <w:wordWrap/>
        <w:overflowPunct/>
        <w:topLinePunct w:val="0"/>
        <w:autoSpaceDE w:val="0"/>
        <w:autoSpaceDN w:val="0"/>
        <w:bidi w:val="0"/>
        <w:adjustRightInd w:val="0"/>
        <w:snapToGrid w:val="0"/>
        <w:spacing w:line="364" w:lineRule="auto"/>
        <w:rPr>
          <w:rFonts w:ascii="仿宋" w:hAnsi="仿宋" w:eastAsia="仿宋" w:cs="仿宋"/>
          <w:color w:val="auto"/>
          <w:spacing w:val="0"/>
          <w:w w:val="100"/>
          <w:position w:val="0"/>
          <w:sz w:val="28"/>
          <w:szCs w:val="28"/>
          <w:highlight w:val="none"/>
        </w:rPr>
        <w:sectPr>
          <w:footerReference r:id="rId10" w:type="default"/>
          <w:pgSz w:w="11912" w:h="16841"/>
          <w:pgMar w:top="1440" w:right="1800" w:bottom="1440" w:left="1800" w:header="0" w:footer="1034" w:gutter="0"/>
          <w:pgNumType w:fmt="decimal"/>
          <w:cols w:space="720" w:num="1"/>
        </w:sectPr>
      </w:pPr>
    </w:p>
    <w:p w14:paraId="30C8E5BF">
      <w:pPr>
        <w:keepNext w:val="0"/>
        <w:keepLines w:val="0"/>
        <w:pageBreakBefore w:val="0"/>
        <w:widowControl/>
        <w:kinsoku/>
        <w:wordWrap/>
        <w:overflowPunct/>
        <w:topLinePunct w:val="0"/>
        <w:autoSpaceDE w:val="0"/>
        <w:autoSpaceDN w:val="0"/>
        <w:bidi w:val="0"/>
        <w:adjustRightInd w:val="0"/>
        <w:snapToGrid w:val="0"/>
        <w:spacing w:before="88" w:line="221" w:lineRule="auto"/>
        <w:ind w:left="1558"/>
        <w:outlineLvl w:val="0"/>
        <w:rPr>
          <w:rFonts w:ascii="仿宋" w:hAnsi="仿宋" w:eastAsia="仿宋" w:cs="仿宋"/>
          <w:color w:val="auto"/>
          <w:spacing w:val="0"/>
          <w:w w:val="100"/>
          <w:position w:val="0"/>
          <w:sz w:val="43"/>
          <w:szCs w:val="43"/>
          <w:highlight w:val="none"/>
        </w:rPr>
      </w:pPr>
      <w:bookmarkStart w:id="450" w:name="bookmark112"/>
      <w:bookmarkEnd w:id="450"/>
      <w:bookmarkStart w:id="451" w:name="bookmark113"/>
      <w:bookmarkEnd w:id="451"/>
      <w:bookmarkStart w:id="452" w:name="_Toc7066"/>
      <w:bookmarkStart w:id="453" w:name="_Toc32520"/>
      <w:bookmarkStart w:id="454" w:name="_Toc29863"/>
      <w:bookmarkStart w:id="455" w:name="_Toc14158"/>
      <w:bookmarkStart w:id="456" w:name="_Toc15848"/>
      <w:bookmarkStart w:id="457" w:name="_Toc26619"/>
      <w:r>
        <w:rPr>
          <w:rFonts w:ascii="仿宋" w:hAnsi="仿宋" w:eastAsia="仿宋" w:cs="仿宋"/>
          <w:b/>
          <w:bCs/>
          <w:color w:val="auto"/>
          <w:spacing w:val="0"/>
          <w:w w:val="100"/>
          <w:position w:val="0"/>
          <w:sz w:val="43"/>
          <w:szCs w:val="43"/>
          <w:highlight w:val="none"/>
        </w:rPr>
        <w:t>4突发环境事件及其后果分析</w:t>
      </w:r>
      <w:bookmarkEnd w:id="452"/>
      <w:bookmarkEnd w:id="453"/>
      <w:bookmarkEnd w:id="454"/>
      <w:bookmarkEnd w:id="455"/>
      <w:bookmarkEnd w:id="456"/>
      <w:bookmarkEnd w:id="457"/>
    </w:p>
    <w:p w14:paraId="04C2A9D1">
      <w:pPr>
        <w:pStyle w:val="3"/>
        <w:keepNext w:val="0"/>
        <w:keepLines w:val="0"/>
        <w:pageBreakBefore w:val="0"/>
        <w:widowControl/>
        <w:kinsoku/>
        <w:wordWrap/>
        <w:overflowPunct/>
        <w:topLinePunct w:val="0"/>
        <w:autoSpaceDE w:val="0"/>
        <w:autoSpaceDN w:val="0"/>
        <w:bidi w:val="0"/>
        <w:adjustRightInd w:val="0"/>
        <w:snapToGrid w:val="0"/>
        <w:spacing w:line="458" w:lineRule="auto"/>
        <w:rPr>
          <w:color w:val="auto"/>
          <w:spacing w:val="0"/>
          <w:w w:val="100"/>
          <w:position w:val="0"/>
          <w:highlight w:val="none"/>
        </w:rPr>
      </w:pPr>
    </w:p>
    <w:p w14:paraId="1A81F393">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458" w:name="_Toc21786"/>
      <w:bookmarkStart w:id="459" w:name="_Toc17606"/>
      <w:bookmarkStart w:id="460" w:name="_Toc15247"/>
      <w:bookmarkStart w:id="461" w:name="_Toc31728"/>
      <w:bookmarkStart w:id="462" w:name="_Toc19875"/>
      <w:bookmarkStart w:id="463" w:name="_Toc28205"/>
      <w:r>
        <w:rPr>
          <w:rFonts w:ascii="仿宋" w:hAnsi="仿宋" w:eastAsia="仿宋" w:cs="仿宋"/>
          <w:b/>
          <w:bCs/>
          <w:color w:val="auto"/>
          <w:spacing w:val="0"/>
          <w:w w:val="100"/>
          <w:position w:val="0"/>
          <w:sz w:val="31"/>
          <w:szCs w:val="31"/>
          <w:highlight w:val="none"/>
        </w:rPr>
        <w:t>4.1突发环境事件情景分析</w:t>
      </w:r>
      <w:bookmarkEnd w:id="458"/>
      <w:bookmarkEnd w:id="459"/>
      <w:bookmarkEnd w:id="460"/>
      <w:bookmarkEnd w:id="461"/>
      <w:bookmarkEnd w:id="462"/>
      <w:bookmarkEnd w:id="463"/>
    </w:p>
    <w:p w14:paraId="19775BB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突发环境事件，指突然发生，造成或可能造成环境污染或生态破坏，危及人民群众生命财产安全，影响社会公共秩序，需要采取紧急措施予以应对的事件。根据现场了解和资料收集，乌翠区近十年内未发生过涉危化品生产安全事故、交通安全事</w:t>
      </w:r>
      <w:r>
        <w:rPr>
          <w:rFonts w:hint="eastAsia" w:ascii="仿宋" w:hAnsi="仿宋" w:eastAsia="仿宋" w:cs="仿宋"/>
          <w:color w:val="auto"/>
          <w:spacing w:val="0"/>
          <w:w w:val="100"/>
          <w:position w:val="0"/>
          <w:sz w:val="28"/>
          <w:szCs w:val="28"/>
          <w:highlight w:val="none"/>
          <w:lang w:eastAsia="zh-CN"/>
        </w:rPr>
        <w:t>故和</w:t>
      </w:r>
      <w:r>
        <w:rPr>
          <w:rFonts w:ascii="仿宋" w:hAnsi="仿宋" w:eastAsia="仿宋" w:cs="仿宋"/>
          <w:color w:val="auto"/>
          <w:spacing w:val="0"/>
          <w:w w:val="100"/>
          <w:position w:val="0"/>
          <w:sz w:val="28"/>
          <w:szCs w:val="28"/>
          <w:highlight w:val="none"/>
        </w:rPr>
        <w:t>涉水突发环境事件。</w:t>
      </w:r>
    </w:p>
    <w:p w14:paraId="141C739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目前国内饮用水水源地突发环境事件类型主要包括以下几方面：（1）由于安全事故、设施设备事故和违法排污等，导致水源地风险物质</w:t>
      </w:r>
      <w:r>
        <w:rPr>
          <w:rFonts w:hint="eastAsia" w:ascii="仿宋" w:hAnsi="仿宋" w:eastAsia="仿宋" w:cs="仿宋"/>
          <w:color w:val="auto"/>
          <w:spacing w:val="0"/>
          <w:w w:val="100"/>
          <w:position w:val="0"/>
          <w:sz w:val="28"/>
          <w:szCs w:val="28"/>
          <w:highlight w:val="none"/>
          <w:lang w:eastAsia="zh-CN"/>
        </w:rPr>
        <w:t>直接</w:t>
      </w:r>
      <w:r>
        <w:rPr>
          <w:rFonts w:ascii="仿宋" w:hAnsi="仿宋" w:eastAsia="仿宋" w:cs="仿宋"/>
          <w:color w:val="auto"/>
          <w:spacing w:val="0"/>
          <w:w w:val="100"/>
          <w:position w:val="0"/>
          <w:sz w:val="28"/>
          <w:szCs w:val="28"/>
          <w:highlight w:val="none"/>
        </w:rPr>
        <w:t>排入水源保护区，造成的固定源水污染事件；（2）由于交通事故、设备故障等，导致油品、化学品或其他有毒有害物质进入水源保护区，造成的流动源水污染事件；（3）由于水源地周围畜禽放牧，</w:t>
      </w:r>
      <w:r>
        <w:rPr>
          <w:rFonts w:hint="eastAsia" w:ascii="仿宋" w:hAnsi="仿宋" w:eastAsia="仿宋" w:cs="仿宋"/>
          <w:color w:val="auto"/>
          <w:spacing w:val="0"/>
          <w:w w:val="100"/>
          <w:position w:val="0"/>
          <w:sz w:val="28"/>
          <w:szCs w:val="28"/>
          <w:highlight w:val="none"/>
          <w:lang w:val="en-US" w:eastAsia="zh-CN"/>
        </w:rPr>
        <w:t>大豆、玉米</w:t>
      </w:r>
      <w:r>
        <w:rPr>
          <w:rFonts w:ascii="仿宋" w:hAnsi="仿宋" w:eastAsia="仿宋" w:cs="仿宋"/>
          <w:color w:val="auto"/>
          <w:spacing w:val="0"/>
          <w:w w:val="100"/>
          <w:position w:val="0"/>
          <w:sz w:val="28"/>
          <w:szCs w:val="28"/>
          <w:highlight w:val="none"/>
        </w:rPr>
        <w:t>等作物农田种植，水源地附近居民点滴瓶等生活垃圾，导致大量细菌、农药、化肥、固废等污染物进入水源保护区，造成的非点源水污染事件；（4）由于水源地上游流域水污染，水源地周围植物净化拦截带面积小等</w:t>
      </w:r>
      <w:r>
        <w:rPr>
          <w:rFonts w:hint="eastAsia" w:ascii="仿宋" w:hAnsi="仿宋" w:eastAsia="仿宋" w:cs="仿宋"/>
          <w:color w:val="auto"/>
          <w:spacing w:val="0"/>
          <w:w w:val="100"/>
          <w:position w:val="0"/>
          <w:sz w:val="28"/>
          <w:szCs w:val="28"/>
          <w:highlight w:val="none"/>
          <w:lang w:eastAsia="zh-CN"/>
        </w:rPr>
        <w:t>其他</w:t>
      </w:r>
      <w:r>
        <w:rPr>
          <w:rFonts w:ascii="仿宋" w:hAnsi="仿宋" w:eastAsia="仿宋" w:cs="仿宋"/>
          <w:color w:val="auto"/>
          <w:spacing w:val="0"/>
          <w:w w:val="100"/>
          <w:position w:val="0"/>
          <w:sz w:val="28"/>
          <w:szCs w:val="28"/>
          <w:highlight w:val="none"/>
        </w:rPr>
        <w:t>意外事件，造成水源保护区水污染事故。</w:t>
      </w:r>
    </w:p>
    <w:p w14:paraId="42A1A2FD">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464" w:name="bookmark114"/>
      <w:bookmarkEnd w:id="464"/>
      <w:bookmarkStart w:id="465" w:name="_Toc2941"/>
      <w:bookmarkStart w:id="466" w:name="_Toc27343"/>
      <w:bookmarkStart w:id="467" w:name="_Toc16565"/>
      <w:bookmarkStart w:id="468" w:name="_Toc16803"/>
      <w:bookmarkStart w:id="469" w:name="_Toc21523"/>
      <w:bookmarkStart w:id="470" w:name="_Toc12617"/>
      <w:r>
        <w:rPr>
          <w:rFonts w:ascii="仿宋" w:hAnsi="仿宋" w:eastAsia="仿宋" w:cs="仿宋"/>
          <w:b/>
          <w:bCs/>
          <w:color w:val="auto"/>
          <w:spacing w:val="0"/>
          <w:w w:val="100"/>
          <w:position w:val="0"/>
          <w:sz w:val="31"/>
          <w:szCs w:val="31"/>
          <w:highlight w:val="none"/>
        </w:rPr>
        <w:t>4.2国内同类突发环境事件</w:t>
      </w:r>
      <w:bookmarkEnd w:id="465"/>
      <w:bookmarkEnd w:id="466"/>
      <w:bookmarkEnd w:id="467"/>
      <w:bookmarkEnd w:id="468"/>
      <w:bookmarkEnd w:id="469"/>
      <w:bookmarkEnd w:id="470"/>
    </w:p>
    <w:p w14:paraId="012078F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（1）</w:t>
      </w:r>
      <w:r>
        <w:rPr>
          <w:rFonts w:ascii="仿宋" w:hAnsi="仿宋" w:eastAsia="仿宋" w:cs="仿宋"/>
          <w:color w:val="auto"/>
          <w:spacing w:val="0"/>
          <w:w w:val="100"/>
          <w:position w:val="0"/>
          <w:sz w:val="28"/>
          <w:szCs w:val="28"/>
          <w:highlight w:val="none"/>
        </w:rPr>
        <w:t>松花江重大水污染事件时间：2005年11月13日</w:t>
      </w:r>
    </w:p>
    <w:p w14:paraId="0F541D7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过程：中石油吉林石化公司双苯厂苯胺车间发生爆炸事故。事故产生的约100吨苯、苯胺和硝基苯等有机污染物流入松花江。由于苯类污染物是对人体健康有危害的有机物，因而导致松花江发生重大水污染事件。哈尔滨市政府随即决定，于11月23日零时起关闭松花江哈尔滨段取水口，停止向市区供水，哈尔滨市的各大超市无一例外地出现了抢购饮用水的场面。危害：截至同年11月14日，共造成5人死亡、1人失踪，近70人受伤。爆炸发生后，约100吨苯类物质（苯、硝基苯等）流入松花江，造成了江水严重污染，沿岸数百万居民的生活受到影响。爆炸导致松花江江面上产生一条长达80公里的污染带，主要由苯和硝基苯组成。污染带通过哈尔滨市，该市经历长达五天的停水，是一起工业灾难。2005年11月21日，哈尔滨市政府向社会发布公告称全市停水4天，“要对市政供水管网进行检修”。此后市民怀疑停水与地震有关出现抢购。同年11月22日，哈尔滨市政府连续发布2个公告，证实上游化工厂爆炸导致了松花江水污染，动员居民储水。同年11月23日，国家环保总局向媒体通报，受中国石油吉林石化公司双苯厂爆炸事故影响，松花江发生重大水污染事件。</w:t>
      </w:r>
    </w:p>
    <w:p w14:paraId="7030F99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故原因：一是吉化分公司及双苯厂对可能发生的事故会引发松花江水污染问题没有进行深入研究，有关应急预案有重大缺失。二是吉林市事故应急救援指挥部对水污染估计不足，重视不够，未提出防控措施和要求。三是中国石油天然气集团公司和股份公司对环境保护工作重视不够，对吉化分公司环保工作中存在的问题失察，对水污染估计不足，重视不够，未能及时督促采取措施。四是吉林市环保局没有及时向事故应急救援指挥部建议采取措施。五是吉林省环保局对水污染问题重视不够，没有按照有关规定全面、准确地报告水污染程度。五是</w:t>
      </w:r>
      <w:r>
        <w:rPr>
          <w:rFonts w:hint="eastAsia" w:ascii="仿宋" w:hAnsi="仿宋" w:eastAsia="仿宋" w:cs="仿宋"/>
          <w:color w:val="auto"/>
          <w:spacing w:val="0"/>
          <w:w w:val="100"/>
          <w:position w:val="0"/>
          <w:sz w:val="28"/>
          <w:szCs w:val="28"/>
          <w:highlight w:val="none"/>
          <w:lang w:eastAsia="zh-CN"/>
        </w:rPr>
        <w:t>中国环境总局</w:t>
      </w:r>
      <w:r>
        <w:rPr>
          <w:rFonts w:ascii="仿宋" w:hAnsi="仿宋" w:eastAsia="仿宋" w:cs="仿宋"/>
          <w:color w:val="auto"/>
          <w:spacing w:val="0"/>
          <w:w w:val="100"/>
          <w:position w:val="0"/>
          <w:sz w:val="28"/>
          <w:szCs w:val="28"/>
          <w:highlight w:val="none"/>
        </w:rPr>
        <w:t>在事件初期对可能产生的严重后果估计不足，重视不够，没有及时提出妥善处置意见。</w:t>
      </w:r>
    </w:p>
    <w:p w14:paraId="32133F7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处置情况：2005年11月30日，国家环保总局提出了经过专家论证评审的松花江生态环境影响评估与修复方案</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总局局长解振华要求努力把污染控制在境内</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尽一切可能把污染产生的损失和影响降到最低程度。一要继续加强水质监测工作。二要立即采取积极措施</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最大限度在境内削减污染物。三要尽快开展松花江流域生态影响评估。然而不管政府做出多大努力，松花江污染已经留下很大隐患。</w:t>
      </w:r>
    </w:p>
    <w:p w14:paraId="451E32E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（2）</w:t>
      </w:r>
      <w:r>
        <w:rPr>
          <w:rFonts w:ascii="仿宋" w:hAnsi="仿宋" w:eastAsia="仿宋" w:cs="仿宋"/>
          <w:color w:val="auto"/>
          <w:spacing w:val="0"/>
          <w:w w:val="100"/>
          <w:position w:val="0"/>
          <w:sz w:val="28"/>
          <w:szCs w:val="28"/>
          <w:highlight w:val="none"/>
        </w:rPr>
        <w:t>河北白洋淀死鱼事件</w:t>
      </w:r>
    </w:p>
    <w:p w14:paraId="107CB25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时间：2006年2月和3月</w:t>
      </w:r>
    </w:p>
    <w:p w14:paraId="7B0AA57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过程：2006年2月和3月，素有“华北明珠”美誉的华北地区最大淡水湖泊白洋淀，接连出现大面积死鱼。调查结果显示，死鱼事件的主因是水体污染较重、水中溶解氧过低，最终造成鱼类窒息。</w:t>
      </w:r>
    </w:p>
    <w:p w14:paraId="1B1389A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危害：据统计，河北任丘市所属9.6万亩水域受到污染，水色发黑，有臭味，网箱中养殖鱼类全部死亡，淀中漂浮着大量死亡的野生鱼类，部分水草发黑枯死。</w:t>
      </w:r>
    </w:p>
    <w:p w14:paraId="649F3D6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事故原因：一是保定市及有关县</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市、区</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污水处理厂建设严重滞后，大量未经处理的工业和生活污水直接进入白洋淀。二是满城县造纸业发展失控，污水排放量已增加至每天8万吨，只有3万吨经过集中处理，其余5万吨只是经过厂区简单处理即排入漕河。三是白洋淀水位长年偏低，且今年补水较晚。四是部分企业环保意识淡薄，存在偷排偷放污染物问题。</w:t>
      </w:r>
    </w:p>
    <w:p w14:paraId="3122F77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处置情况：河北省和保定市开展了一系列治污行动。环保部勒令保定市政府进行治理，</w:t>
      </w:r>
      <w:r>
        <w:rPr>
          <w:rFonts w:hint="eastAsia" w:ascii="仿宋" w:hAnsi="仿宋" w:eastAsia="仿宋" w:cs="仿宋"/>
          <w:color w:val="auto"/>
          <w:spacing w:val="0"/>
          <w:w w:val="100"/>
          <w:position w:val="0"/>
          <w:sz w:val="28"/>
          <w:szCs w:val="28"/>
          <w:highlight w:val="none"/>
          <w:lang w:eastAsia="zh-CN"/>
        </w:rPr>
        <w:t>要求对</w:t>
      </w:r>
      <w:r>
        <w:rPr>
          <w:rFonts w:ascii="仿宋" w:hAnsi="仿宋" w:eastAsia="仿宋" w:cs="仿宋"/>
          <w:color w:val="auto"/>
          <w:spacing w:val="0"/>
          <w:w w:val="100"/>
          <w:position w:val="0"/>
          <w:sz w:val="28"/>
          <w:szCs w:val="28"/>
          <w:highlight w:val="none"/>
        </w:rPr>
        <w:t>白洋淀景点未批先建、上游污水直排、淀内生活垃圾等环境问题整改到位。根据保定市2017年政府工作报告，保定投资5.6亿元加强白洋淀水域综合治理。</w:t>
      </w:r>
      <w:r>
        <w:rPr>
          <w:rFonts w:hint="eastAsia" w:ascii="仿宋" w:hAnsi="仿宋" w:eastAsia="仿宋" w:cs="仿宋"/>
          <w:color w:val="auto"/>
          <w:spacing w:val="0"/>
          <w:w w:val="100"/>
          <w:position w:val="0"/>
          <w:sz w:val="28"/>
          <w:szCs w:val="28"/>
          <w:highlight w:val="none"/>
          <w:lang w:eastAsia="zh-CN"/>
        </w:rPr>
        <w:t>规划了</w:t>
      </w:r>
      <w:r>
        <w:rPr>
          <w:rFonts w:ascii="仿宋" w:hAnsi="仿宋" w:eastAsia="仿宋" w:cs="仿宋"/>
          <w:color w:val="auto"/>
          <w:spacing w:val="0"/>
          <w:w w:val="100"/>
          <w:position w:val="0"/>
          <w:sz w:val="28"/>
          <w:szCs w:val="28"/>
          <w:highlight w:val="none"/>
        </w:rPr>
        <w:t>10类156个项目，投入245.82亿元改善白洋淀生态环境。</w:t>
      </w:r>
    </w:p>
    <w:p w14:paraId="0BA101D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（3）太湖水污染事件</w:t>
      </w:r>
    </w:p>
    <w:p w14:paraId="4DF44B7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时间：2007年5月</w:t>
      </w:r>
    </w:p>
    <w:p w14:paraId="3139F64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过程：江苏省无锡市城区的大批市民家中自来水水质突然发生变化，并伴有难闻的气味，无法正常饮用。无锡市民饮用水水源来自太湖。</w:t>
      </w:r>
    </w:p>
    <w:p w14:paraId="3576ECB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危害：无锡市民纷纷抢购超市内的纯净水，街头零售的桶装纯净水也出现了较大的价格波动。</w:t>
      </w:r>
    </w:p>
    <w:p w14:paraId="2985A47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事故原因：无锡水污染事件主要是由于水源地附近蓝藻大量堆积，厌氧分解过程中产生了大量的NH</w:t>
      </w:r>
      <w:r>
        <w:rPr>
          <w:rFonts w:ascii="仿宋" w:hAnsi="仿宋" w:eastAsia="仿宋" w:cs="仿宋"/>
          <w:color w:val="auto"/>
          <w:spacing w:val="0"/>
          <w:w w:val="100"/>
          <w:position w:val="0"/>
          <w:sz w:val="13"/>
          <w:szCs w:val="13"/>
          <w:highlight w:val="none"/>
        </w:rPr>
        <w:t>3</w:t>
      </w:r>
      <w:r>
        <w:rPr>
          <w:rFonts w:ascii="仿宋" w:hAnsi="仿宋" w:eastAsia="仿宋" w:cs="仿宋"/>
          <w:color w:val="auto"/>
          <w:spacing w:val="0"/>
          <w:w w:val="100"/>
          <w:position w:val="0"/>
          <w:sz w:val="28"/>
          <w:szCs w:val="28"/>
          <w:highlight w:val="none"/>
        </w:rPr>
        <w:t>、硫醇、硫醚以及硫化氢等异味物质。</w:t>
      </w:r>
    </w:p>
    <w:p w14:paraId="0CB3F1C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处置情况：2007年5月31日，建设部专家组抵达无锡，直奔现场，与无锡市研究会商应对方案。专家组成员、清华大学教授张晓健大胆提出改变水处理流程，改为在取水口投放大量的高锰酸钾氧化剂，利用两个多小时的输水过程氧化掉大部分致臭物质；在制水厂投放粉末活性炭，吸附剩余的致臭物质，同时还原残留的氧化剂。经历了17个小时的反复实验，6月1日上午7时40分，出厂水的臭味被成功祛除，原本恶臭的自来水逐渐变成了无色无味的清洁水。无锡市政府立即组织市政公用局、市房管局将消火栓和屋顶水箱及水库中的水清空，确保管网中不留</w:t>
      </w:r>
      <w:r>
        <w:rPr>
          <w:rFonts w:hint="eastAsia" w:ascii="仿宋" w:hAnsi="仿宋" w:eastAsia="仿宋" w:cs="仿宋"/>
          <w:color w:val="auto"/>
          <w:spacing w:val="0"/>
          <w:w w:val="100"/>
          <w:position w:val="0"/>
          <w:sz w:val="28"/>
          <w:szCs w:val="28"/>
          <w:highlight w:val="none"/>
          <w:lang w:eastAsia="zh-CN"/>
        </w:rPr>
        <w:t>积水</w:t>
      </w:r>
      <w:r>
        <w:rPr>
          <w:rFonts w:ascii="仿宋" w:hAnsi="仿宋" w:eastAsia="仿宋" w:cs="仿宋"/>
          <w:color w:val="auto"/>
          <w:spacing w:val="0"/>
          <w:w w:val="100"/>
          <w:position w:val="0"/>
          <w:sz w:val="28"/>
          <w:szCs w:val="28"/>
          <w:highlight w:val="none"/>
        </w:rPr>
        <w:t>。6月5日下午5时，江苏省和无锡市两级疾控中心发布水质监测报告：出厂水、末梢水的水质均达到国家饮用水标准。至此，无锡市水危机得到化解，城市供水完全恢复正常。</w:t>
      </w:r>
    </w:p>
    <w:p w14:paraId="36BB0A9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（4）云南阳宗海砷污染事件</w:t>
      </w:r>
    </w:p>
    <w:p w14:paraId="0C69030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时间：2008年6月</w:t>
      </w:r>
    </w:p>
    <w:p w14:paraId="1C92F9C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过程：2008年6月，环保部门发现阳宗海水体中砷含量出现异常之后，立即展开了调查。在发现阳宗海水质中砷含量超过饮用水</w:t>
      </w:r>
      <w:r>
        <w:rPr>
          <w:rFonts w:hint="eastAsia" w:ascii="仿宋" w:hAnsi="仿宋" w:eastAsia="仿宋" w:cs="仿宋"/>
          <w:color w:val="auto"/>
          <w:spacing w:val="0"/>
          <w:w w:val="100"/>
          <w:position w:val="0"/>
          <w:sz w:val="28"/>
          <w:szCs w:val="28"/>
          <w:highlight w:val="none"/>
          <w:lang w:eastAsia="zh-CN"/>
        </w:rPr>
        <w:t>标准</w:t>
      </w:r>
      <w:r>
        <w:rPr>
          <w:rFonts w:ascii="仿宋" w:hAnsi="仿宋" w:eastAsia="仿宋" w:cs="仿宋"/>
          <w:color w:val="auto"/>
          <w:spacing w:val="0"/>
          <w:w w:val="100"/>
          <w:position w:val="0"/>
          <w:sz w:val="28"/>
          <w:szCs w:val="28"/>
          <w:highlight w:val="none"/>
        </w:rPr>
        <w:t>0.1倍后，立即要求停止以阳宗海作为饮用水水源地。</w:t>
      </w:r>
    </w:p>
    <w:p w14:paraId="22BBA2D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危害：直接危及两万人的饮水安全。从7月8日起，沿湖周边民众及企业全面停止从中取水作为生活饮用水。</w:t>
      </w:r>
    </w:p>
    <w:p w14:paraId="5DA45F4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事故原因：调查组经过全面排查和对部分企业进行重点调查，并通过各种证据资料全面分析后，认定锦业公司为主要污染源。调查组在锦业公司附近的25米处泉眼里除了发现砷以外，还发现总磷等特征性污染物。</w:t>
      </w:r>
    </w:p>
    <w:p w14:paraId="1CA3C4F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处置情况：阳宗海砷污染事件引发了一场“环保风暴”。昆明市开始“试水”环保警察体制，于2008年11月设立了环保公安分局，组建环保警察，并设立环保法庭。2008年12月，云南省正式就“阳宗海湖泊水体减污除砷及水质恢复”科技项目面向全球公开招标，寻求国内外有治理经验的专家学者及企业，希望通过各种措施及工程建设，用3年时间使阳宗海水质恢复到Ⅲ类标准。2011年6月3日，昆明市阳宗海水污染综合防治领导小组办公室发布《2011年一季度阳宗海水质状况及治理情况公告》，公告显示湖体水质由2009年的劣Ⅴ类上升为Ⅳ类，砷平均值比2009年度下降37.5%，共投资3个多亿。</w:t>
      </w:r>
    </w:p>
    <w:p w14:paraId="596805A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（5）新安江水污染事件</w:t>
      </w:r>
    </w:p>
    <w:p w14:paraId="68E3D87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时间：2011年6月</w:t>
      </w:r>
    </w:p>
    <w:p w14:paraId="6B13597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过程：</w:t>
      </w:r>
      <w:r>
        <w:rPr>
          <w:color w:val="auto"/>
          <w:spacing w:val="0"/>
          <w:w w:val="100"/>
          <w:position w:val="0"/>
          <w:highlight w:val="none"/>
        </w:rPr>
        <w:fldChar w:fldCharType="begin"/>
      </w:r>
      <w:r>
        <w:rPr>
          <w:color w:val="auto"/>
          <w:spacing w:val="0"/>
          <w:w w:val="100"/>
          <w:position w:val="0"/>
          <w:highlight w:val="none"/>
        </w:rPr>
        <w:instrText xml:space="preserve"> HYPERLINK "https://baike.baidu.com/item/%E6%9D%AD%E5%B7%9E%E5%B8%82/200167"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杭州市</w:t>
      </w:r>
      <w:r>
        <w:rPr>
          <w:rFonts w:ascii="仿宋" w:hAnsi="仿宋" w:eastAsia="仿宋" w:cs="仿宋"/>
          <w:color w:val="auto"/>
          <w:spacing w:val="0"/>
          <w:w w:val="100"/>
          <w:position w:val="0"/>
          <w:sz w:val="28"/>
          <w:szCs w:val="28"/>
          <w:highlight w:val="none"/>
        </w:rPr>
        <w:fldChar w:fldCharType="end"/>
      </w:r>
      <w:r>
        <w:rPr>
          <w:rFonts w:ascii="仿宋" w:hAnsi="仿宋" w:eastAsia="仿宋" w:cs="仿宋"/>
          <w:color w:val="auto"/>
          <w:spacing w:val="0"/>
          <w:w w:val="100"/>
          <w:position w:val="0"/>
          <w:sz w:val="28"/>
          <w:szCs w:val="28"/>
          <w:highlight w:val="none"/>
        </w:rPr>
        <w:t>辖区</w:t>
      </w:r>
      <w:r>
        <w:rPr>
          <w:color w:val="auto"/>
          <w:spacing w:val="0"/>
          <w:w w:val="100"/>
          <w:position w:val="0"/>
          <w:highlight w:val="none"/>
        </w:rPr>
        <w:fldChar w:fldCharType="begin"/>
      </w:r>
      <w:r>
        <w:rPr>
          <w:color w:val="auto"/>
          <w:spacing w:val="0"/>
          <w:w w:val="100"/>
          <w:position w:val="0"/>
          <w:highlight w:val="none"/>
        </w:rPr>
        <w:instrText xml:space="preserve"> HYPERLINK "https://baike.baidu.com/item/%E5%BB%BA%E5%BE%B7/80414"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建德</w:t>
      </w:r>
      <w:r>
        <w:rPr>
          <w:rFonts w:ascii="仿宋" w:hAnsi="仿宋" w:eastAsia="仿宋" w:cs="仿宋"/>
          <w:color w:val="auto"/>
          <w:spacing w:val="0"/>
          <w:w w:val="100"/>
          <w:position w:val="0"/>
          <w:sz w:val="28"/>
          <w:szCs w:val="28"/>
          <w:highlight w:val="none"/>
        </w:rPr>
        <w:fldChar w:fldCharType="end"/>
      </w:r>
      <w:r>
        <w:rPr>
          <w:rFonts w:ascii="仿宋" w:hAnsi="仿宋" w:eastAsia="仿宋" w:cs="仿宋"/>
          <w:color w:val="auto"/>
          <w:spacing w:val="0"/>
          <w:w w:val="100"/>
          <w:position w:val="0"/>
          <w:sz w:val="28"/>
          <w:szCs w:val="28"/>
          <w:highlight w:val="none"/>
        </w:rPr>
        <w:t>境内</w:t>
      </w:r>
      <w:r>
        <w:rPr>
          <w:color w:val="auto"/>
          <w:spacing w:val="0"/>
          <w:w w:val="100"/>
          <w:position w:val="0"/>
          <w:highlight w:val="none"/>
        </w:rPr>
        <w:fldChar w:fldCharType="begin"/>
      </w:r>
      <w:r>
        <w:rPr>
          <w:color w:val="auto"/>
          <w:spacing w:val="0"/>
          <w:w w:val="100"/>
          <w:position w:val="0"/>
          <w:highlight w:val="none"/>
        </w:rPr>
        <w:instrText xml:space="preserve"> HYPERLINK "https://baike.baidu.com/item/%E6%9D%AD%E6%96%B0%E6%99%AF%E9%AB%98%E9%80%9F%E5%85%AC%E8%B7%AF/5963197"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杭新景高速公路</w:t>
      </w:r>
      <w:r>
        <w:rPr>
          <w:rFonts w:ascii="仿宋" w:hAnsi="仿宋" w:eastAsia="仿宋" w:cs="仿宋"/>
          <w:color w:val="auto"/>
          <w:spacing w:val="0"/>
          <w:w w:val="100"/>
          <w:position w:val="0"/>
          <w:sz w:val="28"/>
          <w:szCs w:val="28"/>
          <w:highlight w:val="none"/>
        </w:rPr>
        <w:fldChar w:fldCharType="end"/>
      </w:r>
      <w:r>
        <w:rPr>
          <w:rFonts w:ascii="仿宋" w:hAnsi="仿宋" w:eastAsia="仿宋" w:cs="仿宋"/>
          <w:color w:val="auto"/>
          <w:spacing w:val="0"/>
          <w:w w:val="100"/>
          <w:position w:val="0"/>
          <w:sz w:val="28"/>
          <w:szCs w:val="28"/>
          <w:highlight w:val="none"/>
        </w:rPr>
        <w:t>发生</w:t>
      </w:r>
      <w:r>
        <w:rPr>
          <w:color w:val="auto"/>
          <w:spacing w:val="0"/>
          <w:w w:val="100"/>
          <w:position w:val="0"/>
          <w:highlight w:val="none"/>
        </w:rPr>
        <w:fldChar w:fldCharType="begin"/>
      </w:r>
      <w:r>
        <w:rPr>
          <w:color w:val="auto"/>
          <w:spacing w:val="0"/>
          <w:w w:val="100"/>
          <w:position w:val="0"/>
          <w:highlight w:val="none"/>
        </w:rPr>
        <w:instrText xml:space="preserve"> HYPERLINK "https://baike.baidu.com/item/%E8%8B%AF%E9%85%9A/317273"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苯酚</w:t>
      </w:r>
      <w:r>
        <w:rPr>
          <w:rFonts w:ascii="仿宋" w:hAnsi="仿宋" w:eastAsia="仿宋" w:cs="仿宋"/>
          <w:color w:val="auto"/>
          <w:spacing w:val="0"/>
          <w:w w:val="100"/>
          <w:position w:val="0"/>
          <w:sz w:val="28"/>
          <w:szCs w:val="28"/>
          <w:highlight w:val="none"/>
        </w:rPr>
        <w:fldChar w:fldCharType="end"/>
      </w:r>
      <w:r>
        <w:rPr>
          <w:rFonts w:ascii="仿宋" w:hAnsi="仿宋" w:eastAsia="仿宋" w:cs="仿宋"/>
          <w:color w:val="auto"/>
          <w:spacing w:val="0"/>
          <w:w w:val="100"/>
          <w:position w:val="0"/>
          <w:sz w:val="28"/>
          <w:szCs w:val="28"/>
          <w:highlight w:val="none"/>
        </w:rPr>
        <w:t>槽罐车泄漏事故，导致部分苯酚泄漏并随雨水流入</w:t>
      </w:r>
      <w:r>
        <w:rPr>
          <w:color w:val="auto"/>
          <w:spacing w:val="0"/>
          <w:w w:val="100"/>
          <w:position w:val="0"/>
          <w:highlight w:val="none"/>
        </w:rPr>
        <w:fldChar w:fldCharType="begin"/>
      </w:r>
      <w:r>
        <w:rPr>
          <w:color w:val="auto"/>
          <w:spacing w:val="0"/>
          <w:w w:val="100"/>
          <w:position w:val="0"/>
          <w:highlight w:val="none"/>
        </w:rPr>
        <w:instrText xml:space="preserve"> HYPERLINK "https://baike.baidu.com/item/%E6%96%B0%E5%AE%89%E6%B1%9F/1039785"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新安江</w:t>
      </w:r>
      <w:r>
        <w:rPr>
          <w:rFonts w:ascii="仿宋" w:hAnsi="仿宋" w:eastAsia="仿宋" w:cs="仿宋"/>
          <w:color w:val="auto"/>
          <w:spacing w:val="0"/>
          <w:w w:val="100"/>
          <w:position w:val="0"/>
          <w:sz w:val="28"/>
          <w:szCs w:val="28"/>
          <w:highlight w:val="none"/>
        </w:rPr>
        <w:fldChar w:fldCharType="end"/>
      </w:r>
      <w:r>
        <w:rPr>
          <w:rFonts w:ascii="仿宋" w:hAnsi="仿宋" w:eastAsia="仿宋" w:cs="仿宋"/>
          <w:color w:val="auto"/>
          <w:spacing w:val="0"/>
          <w:w w:val="100"/>
          <w:position w:val="0"/>
          <w:sz w:val="28"/>
          <w:szCs w:val="28"/>
          <w:highlight w:val="none"/>
        </w:rPr>
        <w:t>，造成部分水体受到污染。</w:t>
      </w:r>
    </w:p>
    <w:p w14:paraId="4229DBD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危害：这是一起因危险化学品运输交通事故引发的严重环境污染事件。但由于事发地新安江为杭州市重要饮用水源地上游，对下游居民正常生产、生活用水造成重大影响。</w:t>
      </w:r>
    </w:p>
    <w:p w14:paraId="639BFE5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事故原因：2011年6月4日</w:t>
      </w:r>
      <w:r>
        <w:rPr>
          <w:rFonts w:hint="eastAsia" w:ascii="仿宋" w:hAnsi="仿宋" w:eastAsia="仿宋" w:cs="仿宋"/>
          <w:color w:val="auto"/>
          <w:spacing w:val="0"/>
          <w:w w:val="100"/>
          <w:position w:val="0"/>
          <w:sz w:val="28"/>
          <w:szCs w:val="28"/>
          <w:highlight w:val="none"/>
          <w:lang w:eastAsia="zh-CN"/>
        </w:rPr>
        <w:t>22时55</w:t>
      </w:r>
      <w:r>
        <w:rPr>
          <w:rFonts w:ascii="仿宋" w:hAnsi="仿宋" w:eastAsia="仿宋" w:cs="仿宋"/>
          <w:color w:val="auto"/>
          <w:spacing w:val="0"/>
          <w:w w:val="100"/>
          <w:position w:val="0"/>
          <w:sz w:val="28"/>
          <w:szCs w:val="28"/>
          <w:highlight w:val="none"/>
        </w:rPr>
        <w:t>分左右，一辆车牌号为浙AM8993的装载有31吨苯酚化学品的槽罐车</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车辆所属单位：萧山伟宇运输有限公司</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，在由</w:t>
      </w:r>
      <w:r>
        <w:rPr>
          <w:color w:val="auto"/>
          <w:spacing w:val="0"/>
          <w:w w:val="100"/>
          <w:position w:val="0"/>
          <w:highlight w:val="none"/>
        </w:rPr>
        <w:fldChar w:fldCharType="begin"/>
      </w:r>
      <w:r>
        <w:rPr>
          <w:color w:val="auto"/>
          <w:spacing w:val="0"/>
          <w:w w:val="100"/>
          <w:position w:val="0"/>
          <w:highlight w:val="none"/>
        </w:rPr>
        <w:instrText xml:space="preserve"> HYPERLINK "https://baike.baidu.com/item/%E4%B8%8A%E6%B5%B7"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fldChar w:fldCharType="end"/>
      </w:r>
      <w:r>
        <w:rPr>
          <w:color w:val="auto"/>
          <w:spacing w:val="0"/>
          <w:w w:val="100"/>
          <w:position w:val="0"/>
          <w:highlight w:val="none"/>
        </w:rPr>
        <w:fldChar w:fldCharType="begin"/>
      </w:r>
      <w:r>
        <w:rPr>
          <w:color w:val="auto"/>
          <w:spacing w:val="0"/>
          <w:w w:val="100"/>
          <w:position w:val="0"/>
          <w:highlight w:val="none"/>
        </w:rPr>
        <w:instrText xml:space="preserve"> HYPERLINK "https://baike.baidu.com/item/%E9%AB%98%E6%A1%A5"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上海高桥化工厂开往</w:t>
      </w:r>
      <w:r>
        <w:rPr>
          <w:rFonts w:ascii="仿宋" w:hAnsi="仿宋" w:eastAsia="仿宋" w:cs="仿宋"/>
          <w:color w:val="auto"/>
          <w:spacing w:val="0"/>
          <w:w w:val="100"/>
          <w:position w:val="0"/>
          <w:sz w:val="28"/>
          <w:szCs w:val="28"/>
          <w:highlight w:val="none"/>
        </w:rPr>
        <w:fldChar w:fldCharType="end"/>
      </w:r>
      <w:r>
        <w:rPr>
          <w:color w:val="auto"/>
          <w:spacing w:val="0"/>
          <w:w w:val="100"/>
          <w:position w:val="0"/>
          <w:highlight w:val="none"/>
        </w:rPr>
        <w:fldChar w:fldCharType="begin"/>
      </w:r>
      <w:r>
        <w:rPr>
          <w:color w:val="auto"/>
          <w:spacing w:val="0"/>
          <w:w w:val="100"/>
          <w:position w:val="0"/>
          <w:highlight w:val="none"/>
        </w:rPr>
        <w:instrText xml:space="preserve"> HYPERLINK "https://baike.baidu.com/item/%E9%BE%99%E6%B8%B8"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龙游</w:t>
      </w:r>
      <w:r>
        <w:rPr>
          <w:rFonts w:ascii="仿宋" w:hAnsi="仿宋" w:eastAsia="仿宋" w:cs="仿宋"/>
          <w:color w:val="auto"/>
          <w:spacing w:val="0"/>
          <w:w w:val="100"/>
          <w:position w:val="0"/>
          <w:sz w:val="28"/>
          <w:szCs w:val="28"/>
          <w:highlight w:val="none"/>
        </w:rPr>
        <w:fldChar w:fldCharType="end"/>
      </w:r>
      <w:r>
        <w:rPr>
          <w:rFonts w:ascii="仿宋" w:hAnsi="仿宋" w:eastAsia="仿宋" w:cs="仿宋"/>
          <w:color w:val="auto"/>
          <w:spacing w:val="0"/>
          <w:w w:val="100"/>
          <w:position w:val="0"/>
          <w:sz w:val="28"/>
          <w:szCs w:val="28"/>
          <w:highlight w:val="none"/>
        </w:rPr>
        <w:t>红云化工厂的途中，经</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S31龙游方向48公里+200米处，距离新安江约1.5公里</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时发生抛锚，当车辆正在进行抢修作业时，一辆车牌号为浙HD8399的重型货车与其发生碰撞事故，导致槽罐破裂，苯酚泄漏，并造成1名抢修人员当场死亡。事发时，因时逢黑夜和暴雨影响，估计约有20吨泄漏苯酚随地表水流入新安江中，造成部分水体受到污染。</w:t>
      </w:r>
    </w:p>
    <w:p w14:paraId="4971522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处置情况：2011年6月17日，因交通肇事导致装载有化学品苯酚的槽罐车发生泄漏而污染新安江水的犯罪嫌疑人徐祖国被杭州建德市检察院批准逮捕。此事故造成</w:t>
      </w:r>
      <w:r>
        <w:rPr>
          <w:rFonts w:hint="eastAsia" w:ascii="仿宋" w:hAnsi="仿宋" w:eastAsia="仿宋" w:cs="仿宋"/>
          <w:color w:val="auto"/>
          <w:spacing w:val="0"/>
          <w:w w:val="100"/>
          <w:position w:val="0"/>
          <w:sz w:val="28"/>
          <w:szCs w:val="28"/>
          <w:highlight w:val="none"/>
          <w:lang w:eastAsia="zh-CN"/>
        </w:rPr>
        <w:t>正在为</w:t>
      </w:r>
      <w:r>
        <w:rPr>
          <w:rFonts w:ascii="仿宋" w:hAnsi="仿宋" w:eastAsia="仿宋" w:cs="仿宋"/>
          <w:color w:val="auto"/>
          <w:spacing w:val="0"/>
          <w:w w:val="100"/>
          <w:position w:val="0"/>
          <w:sz w:val="28"/>
          <w:szCs w:val="28"/>
          <w:highlight w:val="none"/>
        </w:rPr>
        <w:t>被撞车辆</w:t>
      </w:r>
      <w:r>
        <w:rPr>
          <w:rFonts w:hint="eastAsia" w:ascii="仿宋" w:hAnsi="仿宋" w:eastAsia="仿宋" w:cs="仿宋"/>
          <w:color w:val="auto"/>
          <w:spacing w:val="0"/>
          <w:w w:val="100"/>
          <w:position w:val="0"/>
          <w:sz w:val="28"/>
          <w:szCs w:val="28"/>
          <w:highlight w:val="none"/>
          <w:lang w:eastAsia="zh-CN"/>
        </w:rPr>
        <w:t>进行抢修</w:t>
      </w:r>
      <w:r>
        <w:rPr>
          <w:rFonts w:ascii="仿宋" w:hAnsi="仿宋" w:eastAsia="仿宋" w:cs="仿宋"/>
          <w:color w:val="auto"/>
          <w:spacing w:val="0"/>
          <w:w w:val="100"/>
          <w:position w:val="0"/>
          <w:sz w:val="28"/>
          <w:szCs w:val="28"/>
          <w:highlight w:val="none"/>
        </w:rPr>
        <w:t>作业的杭新景友帮施救公司人员赵乃成当场死亡</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两车损坏</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被撞车辆罐体内部分化学品苯酚泄漏。因事发时正逢暴雨影响，导致部分泄漏苯酚随雨水流入新安江，造成部分水体受到污染。经现场勘查和事故认定，犯罪嫌疑人徐祖国负事故的全部责任。</w:t>
      </w:r>
    </w:p>
    <w:p w14:paraId="6BEECFF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（6）</w:t>
      </w:r>
      <w:r>
        <w:rPr>
          <w:color w:val="auto"/>
          <w:spacing w:val="0"/>
          <w:w w:val="100"/>
          <w:position w:val="0"/>
          <w:highlight w:val="none"/>
        </w:rPr>
        <w:fldChar w:fldCharType="begin"/>
      </w:r>
      <w:r>
        <w:rPr>
          <w:color w:val="auto"/>
          <w:spacing w:val="0"/>
          <w:w w:val="100"/>
          <w:position w:val="0"/>
          <w:highlight w:val="none"/>
        </w:rPr>
        <w:instrText xml:space="preserve"> HYPERLINK "http://www.baidu.com/link?url=c9z3FzZf77p4azIbMywXlGerBT6rnA9MPfXbtx2iAXkHF8ZAMUky1DAGMR3j6s347EtHRlcbLCachuneFaQm_a"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广西河池市天峨县龙滩库区</w:t>
      </w:r>
      <w:r>
        <w:rPr>
          <w:rFonts w:ascii="仿宋" w:hAnsi="仿宋" w:eastAsia="仿宋" w:cs="仿宋"/>
          <w:color w:val="auto"/>
          <w:spacing w:val="0"/>
          <w:w w:val="100"/>
          <w:position w:val="0"/>
          <w:sz w:val="28"/>
          <w:szCs w:val="28"/>
          <w:highlight w:val="none"/>
        </w:rPr>
        <w:fldChar w:fldCharType="end"/>
      </w:r>
      <w:r>
        <w:rPr>
          <w:rFonts w:ascii="仿宋" w:hAnsi="仿宋" w:eastAsia="仿宋" w:cs="仿宋"/>
          <w:color w:val="auto"/>
          <w:spacing w:val="0"/>
          <w:w w:val="100"/>
          <w:position w:val="0"/>
          <w:sz w:val="28"/>
          <w:szCs w:val="28"/>
          <w:highlight w:val="none"/>
        </w:rPr>
        <w:t>油船翻沉事件</w:t>
      </w:r>
    </w:p>
    <w:p w14:paraId="399E585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时间：2018年5月</w:t>
      </w:r>
    </w:p>
    <w:p w14:paraId="6F03A3C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过程：天峨县群众反映，2018年5月，龙滩库区先后发生两起油船翻沉事故。</w:t>
      </w:r>
    </w:p>
    <w:p w14:paraId="5281494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危害：船上几十吨柴油倾入河中</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造成河水污染，网箱鱼类死亡，村民饮用水也受到了不同程度的污染。虽然天峨县政府组织有关部门采取了一些措施，但村民仍看到河面上有柴油漂浮，影响人畜饮水安全。</w:t>
      </w:r>
    </w:p>
    <w:p w14:paraId="0FD32D0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故原因：5月20日发生事故的是一艘“三无”（未参加船舶检验部门检验，未持有船舶检验证书、国籍证书、水路运输许可证书、船舶营业运输证书等船舶有效证书，无船名船牌）船舶。事故船舶原贮存柴油约4.5吨，至5月20日事故发生前，已用于自家的采砂船舶采砂用油约1.5吨，事故发生时船上尚有约3吨柴油，在沉没后所有柴油全部泄漏至该区域水体，给水体造成污染。</w:t>
      </w:r>
    </w:p>
    <w:p w14:paraId="5E7EF39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处置情况：事主使用两艘客船和两艘运沙船将沉船水域圈围形成第一道围油栏，将泄漏的柴油隔离在约150平方米的水域内，并及时向天</w:t>
      </w:r>
      <w:r>
        <w:rPr>
          <w:rFonts w:hint="eastAsia" w:ascii="仿宋" w:hAnsi="仿宋" w:eastAsia="仿宋" w:cs="仿宋"/>
          <w:color w:val="auto"/>
          <w:spacing w:val="0"/>
          <w:w w:val="100"/>
          <w:position w:val="0"/>
          <w:sz w:val="28"/>
          <w:szCs w:val="28"/>
          <w:highlight w:val="none"/>
          <w:lang w:eastAsia="zh-CN"/>
        </w:rPr>
        <w:t>峨县</w:t>
      </w:r>
      <w:r>
        <w:rPr>
          <w:rFonts w:ascii="仿宋" w:hAnsi="仿宋" w:eastAsia="仿宋" w:cs="仿宋"/>
          <w:color w:val="auto"/>
          <w:spacing w:val="0"/>
          <w:w w:val="100"/>
          <w:position w:val="0"/>
          <w:sz w:val="28"/>
          <w:szCs w:val="28"/>
          <w:highlight w:val="none"/>
        </w:rPr>
        <w:t>海事处报告沉船事故，事发当天凌晨2时，天峨县海事处赶到现场，紧急调运应急物资，在沉船水域使用拦油索设置第二道围油栏，将油污控制在300平方米范围内。当日14时，已将大约70%的泄漏柴油抽至大船舱内存放</w:t>
      </w:r>
      <w:r>
        <w:rPr>
          <w:rFonts w:hint="eastAsia" w:ascii="仿宋" w:hAnsi="仿宋" w:eastAsia="仿宋" w:cs="仿宋"/>
          <w:color w:val="auto"/>
          <w:spacing w:val="0"/>
          <w:w w:val="100"/>
          <w:position w:val="0"/>
          <w:sz w:val="28"/>
          <w:szCs w:val="28"/>
          <w:highlight w:val="none"/>
          <w:lang w:eastAsia="zh-CN"/>
        </w:rPr>
        <w:t>，截</w:t>
      </w:r>
      <w:r>
        <w:rPr>
          <w:rFonts w:ascii="仿宋" w:hAnsi="仿宋" w:eastAsia="仿宋" w:cs="仿宋"/>
          <w:color w:val="auto"/>
          <w:spacing w:val="0"/>
          <w:w w:val="100"/>
          <w:position w:val="0"/>
          <w:sz w:val="28"/>
          <w:szCs w:val="28"/>
          <w:highlight w:val="none"/>
        </w:rPr>
        <w:t>至5月21日上午10时，水面油污全部收集完毕，本次突发事故环境应急处置过程中产生的1.56吨应急废物，运送至柳州金太阳工业废物处置有限公司处置。河池市人民政府要求，天峨县要针对龙滩库区的船舶管理制定更详细、更严格的管理规定，加强对渔船的行驶许可证审查、办理，允许载运的物品种类、数量以及停靠地点的监管和日常巡检力度，一旦发现违规者，严惩不贷，形成震慑作用，以防此类事件再度发生，严保库区水质及人民群众的生命财产安全。</w:t>
      </w:r>
    </w:p>
    <w:p w14:paraId="5E5EAF3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（7）吉林省长春市第一水源地石头口门水库上游水源地污染时间：2018年9月</w:t>
      </w:r>
    </w:p>
    <w:p w14:paraId="4B1CB63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过程：根据群众举报，国务院第七督查组对吉林省长春市第一水源地石头口门水库上游水源地污染情况进行了调查。调查发现，水库东侧的吉林市永吉县万昌镇岔路河和水库西侧的长春市四家乡杂木村直接流入水库的小河沟水质污染严重，垃圾成堆。</w:t>
      </w:r>
    </w:p>
    <w:p w14:paraId="1405D4E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危害：石头口门水库水源地横跨长春和吉林市两个地区，每年向长春市供水2.46亿立方米，属于一级保护区。经吉林省环境监测中心站取样检查，水质达不到饮用水水质标准，影响人畜饮水安全。</w:t>
      </w:r>
    </w:p>
    <w:p w14:paraId="19E4851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事故原因：相关地方和部门属地责任、监管责任落实不到位的问题。水库东侧的吉林市永吉县万昌镇岔路河和水库西侧的长春市四家乡杂木村直接流入水库的小河沟水质污染严重，给水体造成污染。</w:t>
      </w:r>
    </w:p>
    <w:p w14:paraId="2CEDC48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处置情况：针对水源地垃圾污染问题，相关地方和部门组织人力物力对曝光水源地周边区域30立方米的生活垃圾进行了彻底清理，并对死鸡垃圾进行了无害化处理。同时，对水源地水质不达标、面源污染、生态治理工程项目停建等问题，也将分别查清原因，针对不同情况加快制定整改方案。并依法依纪对相关责任人员进行严肃处理。</w:t>
      </w:r>
    </w:p>
    <w:p w14:paraId="4859A77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（8）珠海市广昌泵站饮用水源二级保护区内大型装卸砂石码头和堆砂场污染水体</w:t>
      </w:r>
    </w:p>
    <w:p w14:paraId="4E41D69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时间：2018年6月</w:t>
      </w:r>
    </w:p>
    <w:p w14:paraId="02F2E4B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过程：根据群众举报，珠海市广昌泵站饮用水源二级保护区内的斗门区白蕉镇存在大型装卸砂石的码头和砂场，现场有多艘船只作业并存有大量机器设备，对饮用水源安全造成威胁。</w:t>
      </w:r>
    </w:p>
    <w:p w14:paraId="4C17B22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危害：现场有多艘船只作业并存有大量机器设备，对饮用水源安全造成威胁，并存在违法占用农田、超许可范围堆砂作业等问题。</w:t>
      </w:r>
    </w:p>
    <w:p w14:paraId="6EDA3DF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事故原因：白蕉镇制止违法用地及违法建设行为不力。斗门区水政监察大队对超许可范围堆砂作业监管不力，对洪基沙石经营部《河道临时占用许可证》期满后的监管不到位。珠海市国土资源局斗门分局白蕉执法监察中队对违法占用农田行为执法不力。斗门区环保局对饮用水源保护监管执法不力。</w:t>
      </w:r>
    </w:p>
    <w:p w14:paraId="4720460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处置情况：珠海市纪委监委启动问责程序，给予白蕉镇人民政府副镇长樊志强、斗门水政监察大队原大队长陈振朝等4人诫勉谈话，另对10人批评教育，同时责成白蕉镇人民政府、斗门区水务局、市国土资源局斗门分局向其上级主管部门（政府）作出书面检查。</w:t>
      </w:r>
    </w:p>
    <w:p w14:paraId="32F06378">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471" w:name="bookmark115"/>
      <w:bookmarkEnd w:id="471"/>
      <w:bookmarkStart w:id="472" w:name="_Toc16882"/>
      <w:bookmarkStart w:id="473" w:name="_Toc21009"/>
      <w:bookmarkStart w:id="474" w:name="_Toc30394"/>
      <w:bookmarkStart w:id="475" w:name="_Toc14415"/>
      <w:bookmarkStart w:id="476" w:name="_Toc27003"/>
      <w:bookmarkStart w:id="477" w:name="_Toc13970"/>
      <w:r>
        <w:rPr>
          <w:rFonts w:ascii="仿宋" w:hAnsi="仿宋" w:eastAsia="仿宋" w:cs="仿宋"/>
          <w:b/>
          <w:bCs/>
          <w:color w:val="auto"/>
          <w:spacing w:val="0"/>
          <w:w w:val="100"/>
          <w:position w:val="0"/>
          <w:sz w:val="31"/>
          <w:szCs w:val="31"/>
          <w:highlight w:val="none"/>
        </w:rPr>
        <w:t>4.3水源地可能发生的突发环境事件情景</w:t>
      </w:r>
      <w:bookmarkEnd w:id="472"/>
      <w:bookmarkEnd w:id="473"/>
      <w:bookmarkEnd w:id="474"/>
      <w:bookmarkEnd w:id="475"/>
      <w:bookmarkEnd w:id="476"/>
      <w:bookmarkEnd w:id="477"/>
    </w:p>
    <w:p w14:paraId="6C6A6FC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通过对西山水库饮用水水源地保护区及周边涉水风险源的风险物质、安全管理及现有环境风险防控与应急措施的分析，报告认为水源地可能发生的突发水环境事件情景见表4-1。</w:t>
      </w:r>
    </w:p>
    <w:p w14:paraId="7F322120">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表4-1西山水库饮用水源保护区可能发生的突发环境风险事件</w:t>
      </w:r>
    </w:p>
    <w:tbl>
      <w:tblPr>
        <w:tblStyle w:val="1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0"/>
        <w:gridCol w:w="3006"/>
        <w:gridCol w:w="4579"/>
      </w:tblGrid>
      <w:tr w14:paraId="1A4EF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39" w:type="pct"/>
            <w:vAlign w:val="center"/>
          </w:tcPr>
          <w:p w14:paraId="5AEAA71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序号</w:t>
            </w:r>
          </w:p>
        </w:tc>
        <w:tc>
          <w:tcPr>
            <w:tcW w:w="1807" w:type="pct"/>
            <w:vAlign w:val="center"/>
          </w:tcPr>
          <w:p w14:paraId="3BD9E55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事故情景</w:t>
            </w:r>
          </w:p>
        </w:tc>
        <w:tc>
          <w:tcPr>
            <w:tcW w:w="2752" w:type="pct"/>
            <w:vAlign w:val="center"/>
          </w:tcPr>
          <w:p w14:paraId="529CD7C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可能引起的突发环境事件</w:t>
            </w:r>
          </w:p>
        </w:tc>
      </w:tr>
      <w:tr w14:paraId="0BD27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439" w:type="pct"/>
            <w:vAlign w:val="center"/>
          </w:tcPr>
          <w:p w14:paraId="75FCC84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w:t>
            </w:r>
          </w:p>
        </w:tc>
        <w:tc>
          <w:tcPr>
            <w:tcW w:w="1807" w:type="pct"/>
            <w:vAlign w:val="center"/>
          </w:tcPr>
          <w:p w14:paraId="4ABFBBA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固定环境风险源突发环境事件</w:t>
            </w:r>
          </w:p>
        </w:tc>
        <w:tc>
          <w:tcPr>
            <w:tcW w:w="2752" w:type="pct"/>
            <w:vAlign w:val="center"/>
          </w:tcPr>
          <w:p w14:paraId="285C01C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由于安全事故、设施设备事故和违法排污等，引发水环境污染事故及次生灾害。</w:t>
            </w:r>
          </w:p>
        </w:tc>
      </w:tr>
      <w:tr w14:paraId="251E6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9" w:hRule="atLeast"/>
        </w:trPr>
        <w:tc>
          <w:tcPr>
            <w:tcW w:w="439" w:type="pct"/>
            <w:vAlign w:val="center"/>
          </w:tcPr>
          <w:p w14:paraId="2860B11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1807" w:type="pct"/>
            <w:vAlign w:val="center"/>
          </w:tcPr>
          <w:p w14:paraId="1DEB2E7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流动源风险物质泄漏环境事件</w:t>
            </w:r>
          </w:p>
        </w:tc>
        <w:tc>
          <w:tcPr>
            <w:tcW w:w="2752" w:type="pct"/>
            <w:vAlign w:val="center"/>
          </w:tcPr>
          <w:p w14:paraId="4B20866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由于交通事故、设备故障等，导致油品、化学品或其他有毒有害物质进入水源保护区，造成水环境污染事故。</w:t>
            </w:r>
          </w:p>
        </w:tc>
      </w:tr>
      <w:tr w14:paraId="5B583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9" w:hRule="atLeast"/>
        </w:trPr>
        <w:tc>
          <w:tcPr>
            <w:tcW w:w="439" w:type="pct"/>
            <w:vAlign w:val="center"/>
          </w:tcPr>
          <w:p w14:paraId="73D13E1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3</w:t>
            </w:r>
          </w:p>
        </w:tc>
        <w:tc>
          <w:tcPr>
            <w:tcW w:w="1807" w:type="pct"/>
            <w:vAlign w:val="center"/>
          </w:tcPr>
          <w:p w14:paraId="10171C6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非点源环境风险源突发环境事件</w:t>
            </w:r>
          </w:p>
        </w:tc>
        <w:tc>
          <w:tcPr>
            <w:tcW w:w="2752" w:type="pct"/>
            <w:vAlign w:val="center"/>
          </w:tcPr>
          <w:p w14:paraId="4B320F9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由于暴雨、洪水等，导致大量细菌、农药、化肥等污染物进入水源保护区</w:t>
            </w:r>
            <w:r>
              <w:rPr>
                <w:rFonts w:hint="eastAsia" w:ascii="仿宋" w:hAnsi="仿宋" w:eastAsia="仿宋" w:cs="仿宋"/>
                <w:color w:val="auto"/>
                <w:spacing w:val="0"/>
                <w:w w:val="100"/>
                <w:position w:val="0"/>
                <w:sz w:val="24"/>
                <w:szCs w:val="24"/>
                <w:highlight w:val="none"/>
                <w:lang w:eastAsia="zh-CN"/>
              </w:rPr>
              <w:t>，</w:t>
            </w:r>
            <w:r>
              <w:rPr>
                <w:rFonts w:ascii="仿宋" w:hAnsi="仿宋" w:eastAsia="仿宋" w:cs="仿宋"/>
                <w:color w:val="auto"/>
                <w:spacing w:val="0"/>
                <w:w w:val="100"/>
                <w:position w:val="0"/>
                <w:sz w:val="24"/>
                <w:szCs w:val="24"/>
                <w:highlight w:val="none"/>
              </w:rPr>
              <w:t>造成水环境污染事故。</w:t>
            </w:r>
          </w:p>
        </w:tc>
      </w:tr>
      <w:tr w14:paraId="1C27B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439" w:type="pct"/>
            <w:tcBorders>
              <w:bottom w:val="single" w:color="000000" w:sz="4" w:space="0"/>
            </w:tcBorders>
            <w:vAlign w:val="center"/>
          </w:tcPr>
          <w:p w14:paraId="77D067C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4</w:t>
            </w:r>
          </w:p>
        </w:tc>
        <w:tc>
          <w:tcPr>
            <w:tcW w:w="1807" w:type="pct"/>
            <w:tcBorders>
              <w:bottom w:val="single" w:color="000000" w:sz="4" w:space="0"/>
            </w:tcBorders>
            <w:vAlign w:val="center"/>
          </w:tcPr>
          <w:p w14:paraId="1BA1990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流域水污染</w:t>
            </w:r>
          </w:p>
          <w:p w14:paraId="70472B8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及其它意外事件</w:t>
            </w:r>
          </w:p>
        </w:tc>
        <w:tc>
          <w:tcPr>
            <w:tcW w:w="2752" w:type="pct"/>
            <w:tcBorders>
              <w:bottom w:val="single" w:color="000000" w:sz="4" w:space="0"/>
            </w:tcBorders>
            <w:vAlign w:val="center"/>
          </w:tcPr>
          <w:p w14:paraId="19F2D12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上游交界断面出现COD、NH</w:t>
            </w:r>
            <w:r>
              <w:rPr>
                <w:rFonts w:ascii="仿宋" w:hAnsi="仿宋" w:eastAsia="仿宋" w:cs="仿宋"/>
                <w:color w:val="auto"/>
                <w:spacing w:val="0"/>
                <w:w w:val="100"/>
                <w:position w:val="0"/>
                <w:sz w:val="24"/>
                <w:szCs w:val="24"/>
                <w:highlight w:val="none"/>
                <w:vertAlign w:val="subscript"/>
              </w:rPr>
              <w:t>3</w:t>
            </w:r>
            <w:r>
              <w:rPr>
                <w:rFonts w:ascii="仿宋" w:hAnsi="仿宋" w:eastAsia="仿宋" w:cs="仿宋"/>
                <w:color w:val="auto"/>
                <w:spacing w:val="0"/>
                <w:w w:val="100"/>
                <w:position w:val="0"/>
                <w:sz w:val="24"/>
                <w:szCs w:val="24"/>
                <w:highlight w:val="none"/>
              </w:rPr>
              <w:t>-N、重金属等超标现象，造成水源地污染事故。</w:t>
            </w:r>
          </w:p>
        </w:tc>
      </w:tr>
    </w:tbl>
    <w:p w14:paraId="11EB9DF3">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478" w:name="bookmark116"/>
      <w:bookmarkEnd w:id="478"/>
      <w:bookmarkStart w:id="479" w:name="_Toc26695"/>
      <w:bookmarkStart w:id="480" w:name="_Toc24720"/>
      <w:bookmarkStart w:id="481" w:name="_Toc17433"/>
      <w:bookmarkStart w:id="482" w:name="_Toc23241"/>
      <w:bookmarkStart w:id="483" w:name="_Toc26686"/>
      <w:bookmarkStart w:id="484" w:name="_Toc11273"/>
      <w:r>
        <w:rPr>
          <w:rFonts w:ascii="仿宋" w:hAnsi="仿宋" w:eastAsia="仿宋" w:cs="仿宋"/>
          <w:b/>
          <w:bCs/>
          <w:color w:val="auto"/>
          <w:spacing w:val="0"/>
          <w:w w:val="100"/>
          <w:position w:val="0"/>
          <w:sz w:val="31"/>
          <w:szCs w:val="31"/>
          <w:highlight w:val="none"/>
        </w:rPr>
        <w:t>4.4突发环境事件源强及后果分析</w:t>
      </w:r>
      <w:bookmarkEnd w:id="479"/>
      <w:bookmarkEnd w:id="480"/>
      <w:bookmarkEnd w:id="481"/>
      <w:bookmarkEnd w:id="482"/>
      <w:bookmarkEnd w:id="483"/>
      <w:bookmarkEnd w:id="484"/>
    </w:p>
    <w:p w14:paraId="2F160492">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485" w:name="_Toc5174"/>
      <w:bookmarkStart w:id="486" w:name="_Toc24707"/>
      <w:r>
        <w:rPr>
          <w:rFonts w:ascii="仿宋" w:hAnsi="仿宋" w:eastAsia="仿宋" w:cs="仿宋"/>
          <w:b/>
          <w:bCs/>
          <w:color w:val="auto"/>
          <w:spacing w:val="0"/>
          <w:w w:val="100"/>
          <w:position w:val="0"/>
          <w:sz w:val="28"/>
          <w:szCs w:val="28"/>
          <w:highlight w:val="none"/>
        </w:rPr>
        <w:t>4.4.1固定源突发环境事件源强及后果分析</w:t>
      </w:r>
      <w:bookmarkEnd w:id="485"/>
      <w:bookmarkEnd w:id="486"/>
    </w:p>
    <w:p w14:paraId="4105826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集中式饮用水水源地规范化建设环境保护技术要求》HJ773-2015）中第六条“保护区整治要求”可知：一级保护区范围内不允许存在与供水和保护水源无关的建设项目，保护区规定前已有的建设项目拆除或关闭，并视情进行生态修复。二级保护区范围内必须无工业和生活排污口。</w:t>
      </w:r>
    </w:p>
    <w:p w14:paraId="5C61371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根据调查，西山水库集中式饮用水水源保护区内未有煤矿、砂石等工矿企业及不存在石油化工企业等，因此不存在固定源污染情况。</w:t>
      </w:r>
    </w:p>
    <w:p w14:paraId="084E4115">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487" w:name="_Toc24053"/>
      <w:bookmarkStart w:id="488" w:name="_Toc25505"/>
      <w:r>
        <w:rPr>
          <w:rFonts w:ascii="仿宋" w:hAnsi="仿宋" w:eastAsia="仿宋" w:cs="仿宋"/>
          <w:b/>
          <w:bCs/>
          <w:color w:val="auto"/>
          <w:spacing w:val="0"/>
          <w:w w:val="100"/>
          <w:position w:val="0"/>
          <w:sz w:val="28"/>
          <w:szCs w:val="28"/>
          <w:highlight w:val="none"/>
        </w:rPr>
        <w:t>4.4.2流动源突发环境事件源强及后果分析</w:t>
      </w:r>
      <w:bookmarkEnd w:id="487"/>
      <w:bookmarkEnd w:id="488"/>
    </w:p>
    <w:p w14:paraId="6C81608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集中式地表水饮用水水源地突发环境事件应急预案编制指南（试行）》规定，流动源是指运输危险化学品、危险废物及其他影响饮用水安全物质的车辆、船舶等交通工具。根据现场调查可知，西山水库饮用水源保护区范围内</w:t>
      </w:r>
      <w:r>
        <w:rPr>
          <w:rFonts w:hint="eastAsia" w:ascii="仿宋" w:hAnsi="仿宋" w:eastAsia="仿宋" w:cs="仿宋"/>
          <w:color w:val="auto"/>
          <w:spacing w:val="0"/>
          <w:w w:val="100"/>
          <w:position w:val="0"/>
          <w:sz w:val="28"/>
          <w:szCs w:val="28"/>
          <w:highlight w:val="none"/>
          <w:lang w:val="en-US" w:eastAsia="zh-CN"/>
        </w:rPr>
        <w:t>突发环境事件种类为</w:t>
      </w:r>
      <w:r>
        <w:rPr>
          <w:rFonts w:hint="eastAsia" w:ascii="仿宋" w:hAnsi="仿宋" w:eastAsia="仿宋" w:cs="仿宋"/>
          <w:color w:val="auto"/>
          <w:spacing w:val="0"/>
          <w:w w:val="100"/>
          <w:position w:val="0"/>
          <w:sz w:val="28"/>
          <w:szCs w:val="28"/>
          <w:highlight w:val="none"/>
        </w:rPr>
        <w:t>由于交通事故等原因，导致油品、化学品或其他有毒有害物质泄漏等</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可能的影响范围为道路与水源地之间陆域、道路附近水域</w:t>
      </w:r>
      <w:r>
        <w:rPr>
          <w:rFonts w:ascii="仿宋" w:hAnsi="仿宋" w:eastAsia="仿宋" w:cs="仿宋"/>
          <w:color w:val="auto"/>
          <w:spacing w:val="0"/>
          <w:w w:val="100"/>
          <w:position w:val="0"/>
          <w:sz w:val="28"/>
          <w:szCs w:val="28"/>
          <w:highlight w:val="none"/>
        </w:rPr>
        <w:t>。</w:t>
      </w:r>
    </w:p>
    <w:p w14:paraId="2C8E0C16">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489" w:name="_Toc31663"/>
      <w:bookmarkStart w:id="490" w:name="_Toc24314"/>
      <w:r>
        <w:rPr>
          <w:rFonts w:ascii="仿宋" w:hAnsi="仿宋" w:eastAsia="仿宋" w:cs="仿宋"/>
          <w:b/>
          <w:bCs/>
          <w:color w:val="auto"/>
          <w:spacing w:val="0"/>
          <w:w w:val="100"/>
          <w:position w:val="0"/>
          <w:sz w:val="28"/>
          <w:szCs w:val="28"/>
          <w:highlight w:val="none"/>
        </w:rPr>
        <w:t>4.4.3非点源突发环境事件源强及后果分析</w:t>
      </w:r>
      <w:bookmarkEnd w:id="489"/>
      <w:bookmarkEnd w:id="490"/>
    </w:p>
    <w:p w14:paraId="5A3D3D1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根据对西山水库饮用水源保护区取水口的水质监测数据分析可知，沿线的非点风险源环境事件</w:t>
      </w:r>
      <w:r>
        <w:rPr>
          <w:rFonts w:hint="eastAsia" w:ascii="仿宋" w:hAnsi="仿宋" w:eastAsia="仿宋" w:cs="仿宋"/>
          <w:color w:val="auto"/>
          <w:spacing w:val="0"/>
          <w:w w:val="100"/>
          <w:position w:val="0"/>
          <w:sz w:val="28"/>
          <w:szCs w:val="28"/>
          <w:highlight w:val="none"/>
          <w:lang w:eastAsia="zh-CN"/>
        </w:rPr>
        <w:t>是</w:t>
      </w:r>
      <w:r>
        <w:rPr>
          <w:rFonts w:ascii="仿宋" w:hAnsi="仿宋" w:eastAsia="仿宋" w:cs="仿宋"/>
          <w:color w:val="auto"/>
          <w:spacing w:val="0"/>
          <w:w w:val="100"/>
          <w:position w:val="0"/>
          <w:sz w:val="28"/>
          <w:szCs w:val="28"/>
          <w:highlight w:val="none"/>
        </w:rPr>
        <w:t>由于沿线生活污水、农业污水等长时间累积排放导致。</w:t>
      </w:r>
    </w:p>
    <w:p w14:paraId="5262032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根据现场踏勘与调研收集信息，结合保护区划定范围进行分析，西山水库集中式饮用水水源地一级保护区</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二级保护区</w:t>
      </w:r>
      <w:r>
        <w:rPr>
          <w:rFonts w:ascii="仿宋" w:hAnsi="仿宋" w:eastAsia="仿宋" w:cs="仿宋"/>
          <w:color w:val="auto"/>
          <w:spacing w:val="0"/>
          <w:w w:val="100"/>
          <w:position w:val="0"/>
          <w:sz w:val="28"/>
          <w:szCs w:val="28"/>
          <w:highlight w:val="none"/>
        </w:rPr>
        <w:t>内不涉及居民区</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准保护区现有抚育经营所、冲锋经营所、一江村，翠峦经营所、尖山河林场，共有住户141户、在册人口292人，污水排放量5202.01m</w:t>
      </w:r>
      <w:r>
        <w:rPr>
          <w:rFonts w:ascii="Calibri" w:hAnsi="Calibri" w:eastAsia="Calibri" w:cs="Calibri"/>
          <w:color w:val="auto"/>
          <w:spacing w:val="0"/>
          <w:w w:val="100"/>
          <w:position w:val="0"/>
          <w:sz w:val="28"/>
          <w:szCs w:val="28"/>
          <w:highlight w:val="none"/>
        </w:rPr>
        <w:t>³</w:t>
      </w:r>
      <w:r>
        <w:rPr>
          <w:rFonts w:ascii="仿宋" w:hAnsi="仿宋" w:eastAsia="仿宋" w:cs="仿宋"/>
          <w:color w:val="auto"/>
          <w:spacing w:val="0"/>
          <w:w w:val="100"/>
          <w:position w:val="0"/>
          <w:sz w:val="28"/>
          <w:szCs w:val="28"/>
          <w:highlight w:val="none"/>
        </w:rPr>
        <w:t>/a，由于目前未建污水管网对污水进行收集，因此村民产生的生活污水均未经处理直接排放，将通过地表径流和地下渗漏方式对水体环境造成污染。</w:t>
      </w:r>
    </w:p>
    <w:p w14:paraId="55BB52F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在农业生产活动中，由于施肥、施药等生产行为造成氮和磷等营养物质、农药、重金属及其他有机和无机污染物质、土壤颗粒等沉积物通过农田地表径流和地下渗漏</w:t>
      </w:r>
      <w:r>
        <w:rPr>
          <w:rFonts w:hint="eastAsia" w:ascii="仿宋" w:hAnsi="仿宋" w:eastAsia="仿宋" w:cs="仿宋"/>
          <w:color w:val="auto"/>
          <w:spacing w:val="0"/>
          <w:w w:val="100"/>
          <w:position w:val="0"/>
          <w:sz w:val="28"/>
          <w:szCs w:val="28"/>
          <w:highlight w:val="none"/>
          <w:lang w:eastAsia="zh-CN"/>
        </w:rPr>
        <w:t>方式</w:t>
      </w:r>
      <w:r>
        <w:rPr>
          <w:rFonts w:ascii="仿宋" w:hAnsi="仿宋" w:eastAsia="仿宋" w:cs="仿宋"/>
          <w:color w:val="auto"/>
          <w:spacing w:val="0"/>
          <w:w w:val="100"/>
          <w:position w:val="0"/>
          <w:sz w:val="28"/>
          <w:szCs w:val="28"/>
          <w:highlight w:val="none"/>
        </w:rPr>
        <w:t>进入水体，同时随着农村青壮年劳动力外出打工，农业生产劳动力削弱，施用农家肥的农户越来越少，从而导致施用氮、磷等肥料逐步加剧，水体周边农业面源污染量有增加的趋势。</w:t>
      </w:r>
    </w:p>
    <w:p w14:paraId="417B92D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根据调查</w:t>
      </w:r>
      <w:r>
        <w:rPr>
          <w:rFonts w:ascii="仿宋" w:hAnsi="仿宋" w:eastAsia="仿宋" w:cs="仿宋"/>
          <w:color w:val="auto"/>
          <w:spacing w:val="0"/>
          <w:w w:val="100"/>
          <w:position w:val="0"/>
          <w:sz w:val="28"/>
          <w:szCs w:val="28"/>
          <w:highlight w:val="none"/>
        </w:rPr>
        <w:t>，保护区内无规模化的畜禽养殖，周边各乡村的畜禽散养户产生的畜禽粪便大部分通过化粪池收集处理后作为肥料施用于农田，不直接排入水体。从各种畜禽粪便产生的特点看，鸡，鹅粪便产生量少，便于收集处置，不用水冲洗鸡圈，基本无废水产生。养猪户需要定期用水冲洗猪圈，除部分农户将其作为产沼原料外，大多直接排放。含有大量氮、磷、钾的生活污水及农用废水</w:t>
      </w:r>
      <w:r>
        <w:rPr>
          <w:rFonts w:hint="eastAsia" w:ascii="仿宋" w:hAnsi="仿宋" w:eastAsia="仿宋" w:cs="仿宋"/>
          <w:color w:val="auto"/>
          <w:spacing w:val="0"/>
          <w:w w:val="100"/>
          <w:position w:val="0"/>
          <w:sz w:val="28"/>
          <w:szCs w:val="28"/>
          <w:highlight w:val="none"/>
          <w:lang w:eastAsia="zh-CN"/>
        </w:rPr>
        <w:t>排</w:t>
      </w:r>
      <w:r>
        <w:rPr>
          <w:rFonts w:ascii="仿宋" w:hAnsi="仿宋" w:eastAsia="仿宋" w:cs="仿宋"/>
          <w:color w:val="auto"/>
          <w:spacing w:val="0"/>
          <w:w w:val="100"/>
          <w:position w:val="0"/>
          <w:sz w:val="28"/>
          <w:szCs w:val="28"/>
          <w:highlight w:val="none"/>
        </w:rPr>
        <w:t>入水体，大量有机物在水中降解放出营养元素，促进水中藻类丛生，植物疯长，使水体通气不良，溶解氧下降，甚至出现无氧层。致使水生植物大量死亡，水面发黑，水体发臭形成“死湖”。</w:t>
      </w:r>
    </w:p>
    <w:p w14:paraId="111324A9">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491" w:name="_Toc30337"/>
      <w:bookmarkStart w:id="492" w:name="_Toc27598"/>
      <w:r>
        <w:rPr>
          <w:rFonts w:ascii="仿宋" w:hAnsi="仿宋" w:eastAsia="仿宋" w:cs="仿宋"/>
          <w:b/>
          <w:bCs/>
          <w:color w:val="auto"/>
          <w:spacing w:val="0"/>
          <w:w w:val="100"/>
          <w:position w:val="0"/>
          <w:sz w:val="28"/>
          <w:szCs w:val="28"/>
          <w:highlight w:val="none"/>
        </w:rPr>
        <w:t>4.4.4</w:t>
      </w:r>
      <w:r>
        <w:rPr>
          <w:rFonts w:hint="eastAsia" w:ascii="仿宋" w:hAnsi="仿宋" w:eastAsia="仿宋" w:cs="仿宋"/>
          <w:b/>
          <w:bCs/>
          <w:color w:val="auto"/>
          <w:spacing w:val="0"/>
          <w:w w:val="100"/>
          <w:position w:val="0"/>
          <w:sz w:val="28"/>
          <w:szCs w:val="28"/>
          <w:highlight w:val="none"/>
          <w:lang w:val="en-US" w:eastAsia="zh-CN"/>
        </w:rPr>
        <w:t>水华灾害</w:t>
      </w:r>
      <w:r>
        <w:rPr>
          <w:rFonts w:ascii="仿宋" w:hAnsi="仿宋" w:eastAsia="仿宋" w:cs="仿宋"/>
          <w:b/>
          <w:bCs/>
          <w:color w:val="auto"/>
          <w:spacing w:val="0"/>
          <w:w w:val="100"/>
          <w:position w:val="0"/>
          <w:sz w:val="28"/>
          <w:szCs w:val="28"/>
          <w:highlight w:val="none"/>
        </w:rPr>
        <w:t>污染事件源强及后果分析</w:t>
      </w:r>
      <w:bookmarkEnd w:id="491"/>
      <w:bookmarkEnd w:id="492"/>
    </w:p>
    <w:p w14:paraId="77E8390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仿宋_GB2312" w:cs="Times New Roman"/>
          <w:color w:val="auto"/>
          <w:sz w:val="28"/>
          <w:szCs w:val="28"/>
          <w:lang w:val="en-US" w:eastAsia="zh-CN"/>
        </w:rPr>
      </w:pPr>
      <w:bookmarkStart w:id="493" w:name="_Toc21927"/>
      <w:bookmarkStart w:id="494" w:name="_Toc1915"/>
      <w:r>
        <w:rPr>
          <w:rFonts w:hint="eastAsia" w:ascii="Times New Roman" w:hAnsi="Times New Roman" w:eastAsia="仿宋_GB2312" w:cs="Times New Roman"/>
          <w:color w:val="auto"/>
          <w:sz w:val="28"/>
          <w:szCs w:val="28"/>
          <w:lang w:val="en-US" w:eastAsia="zh-CN"/>
        </w:rPr>
        <w:t>本项目</w:t>
      </w:r>
      <w:r>
        <w:rPr>
          <w:rFonts w:hint="default" w:ascii="Times New Roman" w:hAnsi="Times New Roman" w:eastAsia="仿宋_GB2312" w:cs="Times New Roman"/>
          <w:color w:val="auto"/>
          <w:sz w:val="28"/>
          <w:szCs w:val="28"/>
          <w:lang w:val="en-US" w:eastAsia="zh-CN"/>
        </w:rPr>
        <w:t>水源地保护区为水库型，对水库型水源地的水华灾害风险评估采用《集中式地表水饮用水水源地突发环境事件应急预案编制指南（试行）》中推荐的层次分析法对引起水华灾害的水体营养盐条件、水动力条件、光热条件及叶绿素α等因素，按无水华事件、水库型水源地和溪流型水源地进行层次分析法判定，见图</w:t>
      </w:r>
      <w:r>
        <w:rPr>
          <w:rFonts w:hint="eastAsia" w:ascii="Times New Roman" w:hAnsi="Times New Roman" w:eastAsia="仿宋_GB2312" w:cs="Times New Roman"/>
          <w:color w:val="auto"/>
          <w:sz w:val="28"/>
          <w:szCs w:val="28"/>
          <w:lang w:val="en-US" w:eastAsia="zh-CN"/>
        </w:rPr>
        <w:t>4-1</w:t>
      </w:r>
      <w:r>
        <w:rPr>
          <w:rFonts w:hint="default" w:ascii="Times New Roman" w:hAnsi="Times New Roman" w:eastAsia="仿宋_GB2312" w:cs="Times New Roman"/>
          <w:color w:val="auto"/>
          <w:sz w:val="28"/>
          <w:szCs w:val="28"/>
          <w:lang w:val="en-US" w:eastAsia="zh-CN"/>
        </w:rPr>
        <w:t>。</w:t>
      </w:r>
    </w:p>
    <w:p w14:paraId="7592DEA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auto"/>
          <w:sz w:val="28"/>
        </w:rPr>
      </w:pPr>
      <w:r>
        <w:rPr>
          <w:rFonts w:hint="default" w:ascii="Times New Roman" w:hAnsi="Times New Roman" w:cs="Times New Roman"/>
          <w:color w:val="auto"/>
          <w:sz w:val="28"/>
        </w:rPr>
        <mc:AlternateContent>
          <mc:Choice Requires="wpc">
            <w:drawing>
              <wp:inline distT="0" distB="0" distL="114300" distR="114300">
                <wp:extent cx="5277485" cy="2879725"/>
                <wp:effectExtent l="0" t="0" r="18415" b="15875"/>
                <wp:docPr id="1" name="画布 1"/>
                <wp:cNvGraphicFramePr/>
                <a:graphic xmlns:a="http://schemas.openxmlformats.org/drawingml/2006/main">
                  <a:graphicData uri="http://schemas.microsoft.com/office/word/2010/wordprocessingCanvas">
                    <wpc:wpc>
                      <wpc:bg/>
                      <wpc:whole/>
                      <wps:wsp>
                        <wps:cNvPr id="11" name="矩形 9"/>
                        <wps:cNvSpPr/>
                        <wps:spPr>
                          <a:xfrm>
                            <a:off x="2026920" y="56515"/>
                            <a:ext cx="1440000" cy="540000"/>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6147BA7">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水华事件（J）</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矩形 12"/>
                        <wps:cNvSpPr/>
                        <wps:spPr>
                          <a:xfrm>
                            <a:off x="705485" y="1091565"/>
                            <a:ext cx="1080135" cy="539750"/>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6B81F11">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eastAsia" w:ascii="Times New Roman" w:hAnsi="Times New Roman" w:cs="Times New Roman"/>
                                  <w:color w:val="000000" w:themeColor="text1"/>
                                  <w:sz w:val="24"/>
                                  <w:szCs w:val="32"/>
                                  <w:lang w:val="en-US" w:eastAsia="zh-CN"/>
                                  <w14:textFill>
                                    <w14:solidFill>
                                      <w14:schemeClr w14:val="tx1"/>
                                    </w14:solidFill>
                                  </w14:textFill>
                                </w:rPr>
                                <w:t>无</w:t>
                              </w:r>
                              <w:r>
                                <w:rPr>
                                  <w:rFonts w:hint="default" w:ascii="Times New Roman" w:hAnsi="Times New Roman" w:cs="Times New Roman"/>
                                  <w:color w:val="000000" w:themeColor="text1"/>
                                  <w:sz w:val="24"/>
                                  <w:szCs w:val="32"/>
                                  <w:lang w:val="en-US" w:eastAsia="zh-CN"/>
                                  <w14:textFill>
                                    <w14:solidFill>
                                      <w14:schemeClr w14:val="tx1"/>
                                    </w14:solidFill>
                                  </w14:textFill>
                                </w:rPr>
                                <w:t>水华事件（</w:t>
                              </w:r>
                              <w:r>
                                <w:rPr>
                                  <w:rFonts w:hint="eastAsia" w:ascii="Times New Roman" w:hAnsi="Times New Roman" w:cs="Times New Roman"/>
                                  <w:color w:val="000000" w:themeColor="text1"/>
                                  <w:sz w:val="24"/>
                                  <w:szCs w:val="32"/>
                                  <w:lang w:val="en-US" w:eastAsia="zh-CN"/>
                                  <w14:textFill>
                                    <w14:solidFill>
                                      <w14:schemeClr w14:val="tx1"/>
                                    </w14:solidFill>
                                  </w14:textFill>
                                </w:rPr>
                                <w:t>C1</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 name="矩形 14"/>
                        <wps:cNvSpPr/>
                        <wps:spPr>
                          <a:xfrm>
                            <a:off x="3499485" y="1109980"/>
                            <a:ext cx="1080135" cy="539750"/>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13DBE62">
                              <w:pPr>
                                <w:jc w:val="center"/>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水库型水源</w:t>
                              </w:r>
                            </w:p>
                            <w:p w14:paraId="1C737E47">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地（</w:t>
                              </w:r>
                              <w:r>
                                <w:rPr>
                                  <w:rFonts w:hint="eastAsia" w:ascii="Times New Roman" w:hAnsi="Times New Roman" w:cs="Times New Roman"/>
                                  <w:color w:val="000000" w:themeColor="text1"/>
                                  <w:sz w:val="24"/>
                                  <w:szCs w:val="32"/>
                                  <w:lang w:val="en-US" w:eastAsia="zh-CN"/>
                                  <w14:textFill>
                                    <w14:solidFill>
                                      <w14:schemeClr w14:val="tx1"/>
                                    </w14:solidFill>
                                  </w14:textFill>
                                </w:rPr>
                                <w:t>C2</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g:cNvPr id="16" name="组合 21"/>
                        <wpg:cNvGrpSpPr/>
                        <wpg:grpSpPr>
                          <a:xfrm>
                            <a:off x="15875" y="2312035"/>
                            <a:ext cx="5259070" cy="539750"/>
                            <a:chOff x="25" y="3991"/>
                            <a:chExt cx="8282" cy="850"/>
                          </a:xfrm>
                        </wpg:grpSpPr>
                        <wps:wsp>
                          <wps:cNvPr id="32" name="矩形 17"/>
                          <wps:cNvSpPr/>
                          <wps:spPr>
                            <a:xfrm>
                              <a:off x="25" y="3991"/>
                              <a:ext cx="1701" cy="850"/>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9146561">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水体营养化（</w:t>
                                </w:r>
                                <w:r>
                                  <w:rPr>
                                    <w:rFonts w:hint="eastAsia" w:ascii="Times New Roman" w:hAnsi="Times New Roman" w:cs="Times New Roman"/>
                                    <w:color w:val="000000" w:themeColor="text1"/>
                                    <w:sz w:val="24"/>
                                    <w:szCs w:val="32"/>
                                    <w:lang w:val="en-US" w:eastAsia="zh-CN"/>
                                    <w14:textFill>
                                      <w14:solidFill>
                                        <w14:schemeClr w14:val="tx1"/>
                                      </w14:solidFill>
                                    </w14:textFill>
                                  </w:rPr>
                                  <w:t>P1</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 name="矩形 18"/>
                          <wps:cNvSpPr/>
                          <wps:spPr>
                            <a:xfrm>
                              <a:off x="2236" y="3991"/>
                              <a:ext cx="1701" cy="850"/>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8C31CE6">
                                <w:pPr>
                                  <w:jc w:val="center"/>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叶绿素α</w:t>
                                </w:r>
                              </w:p>
                              <w:p w14:paraId="001D9718">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P2</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 name="矩形 19"/>
                          <wps:cNvSpPr/>
                          <wps:spPr>
                            <a:xfrm>
                              <a:off x="4431" y="3991"/>
                              <a:ext cx="1701" cy="850"/>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85BE516">
                                <w:pPr>
                                  <w:jc w:val="center"/>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光热因素</w:t>
                                </w:r>
                              </w:p>
                              <w:p w14:paraId="21B7098E">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P1</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 name="矩形 20"/>
                          <wps:cNvSpPr/>
                          <wps:spPr>
                            <a:xfrm>
                              <a:off x="6607" y="3991"/>
                              <a:ext cx="1701" cy="850"/>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6AB139B">
                                <w:pPr>
                                  <w:jc w:val="center"/>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水动力因素</w:t>
                                </w:r>
                              </w:p>
                              <w:p w14:paraId="1ACFB8F7">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P1</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wps:wsp>
                        <wps:cNvPr id="40" name="直接连接符 23"/>
                        <wps:cNvCnPr>
                          <a:stCxn id="14" idx="2"/>
                        </wps:cNvCnPr>
                        <wps:spPr>
                          <a:xfrm>
                            <a:off x="4039870" y="1649730"/>
                            <a:ext cx="714375" cy="727075"/>
                          </a:xfrm>
                          <a:prstGeom prst="line">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1" name="直接连接符 24"/>
                        <wps:cNvCnPr/>
                        <wps:spPr>
                          <a:xfrm flipH="1">
                            <a:off x="1245870" y="596265"/>
                            <a:ext cx="1501140" cy="50419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2" name="直接连接符 25"/>
                        <wps:cNvCnPr>
                          <a:stCxn id="9" idx="2"/>
                          <a:endCxn id="15" idx="0"/>
                        </wps:cNvCnPr>
                        <wps:spPr>
                          <a:xfrm>
                            <a:off x="2747010" y="596265"/>
                            <a:ext cx="1421130" cy="514985"/>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3" name="直接连接符 33"/>
                        <wps:cNvCnPr/>
                        <wps:spPr>
                          <a:xfrm flipH="1">
                            <a:off x="556260" y="1640205"/>
                            <a:ext cx="689610" cy="67183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4" name="直接连接符 34"/>
                        <wps:cNvCnPr/>
                        <wps:spPr>
                          <a:xfrm>
                            <a:off x="1245870" y="1631315"/>
                            <a:ext cx="714375" cy="68072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5" name="直接连接符 35"/>
                        <wps:cNvCnPr/>
                        <wps:spPr>
                          <a:xfrm>
                            <a:off x="1245870" y="1640205"/>
                            <a:ext cx="2108200" cy="67183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7" name="直接连接符 36"/>
                        <wps:cNvCnPr>
                          <a:endCxn id="20" idx="0"/>
                        </wps:cNvCnPr>
                        <wps:spPr>
                          <a:xfrm>
                            <a:off x="1232535" y="1628140"/>
                            <a:ext cx="3503295" cy="683895"/>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8" name="直接连接符 46"/>
                        <wps:cNvCnPr>
                          <a:stCxn id="14" idx="2"/>
                          <a:endCxn id="17" idx="0"/>
                        </wps:cNvCnPr>
                        <wps:spPr>
                          <a:xfrm flipH="1">
                            <a:off x="556260" y="1649730"/>
                            <a:ext cx="3483610" cy="662305"/>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9" name="直接连接符 83"/>
                        <wps:cNvCnPr/>
                        <wps:spPr>
                          <a:xfrm flipH="1">
                            <a:off x="1960245" y="1656715"/>
                            <a:ext cx="2054860" cy="65532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0" name="直接连接符 87"/>
                        <wps:cNvCnPr/>
                        <wps:spPr>
                          <a:xfrm flipH="1">
                            <a:off x="3354070" y="1647190"/>
                            <a:ext cx="680085" cy="664845"/>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c:wpc>
                  </a:graphicData>
                </a:graphic>
              </wp:inline>
            </w:drawing>
          </mc:Choice>
          <mc:Fallback>
            <w:pict>
              <v:group id="_x0000_s1026" o:spid="_x0000_s1026" o:spt="203" style="height:226.75pt;width:415.55pt;" coordsize="5277485,2879725" editas="canvas" o:gfxdata="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">
                <o:lock v:ext="edit" aspectratio="f"/>
                <v:shape id="_x0000_s1026" o:spid="_x0000_s1026" style="position:absolute;left:0;top:0;height:2879725;width:5277485;" filled="f" stroked="f" coordsize="21600,21600" o:gfxdata="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">
                  <v:fill on="f" focussize="0,0"/>
                  <v:stroke on="f"/>
                  <v:imagedata o:title=""/>
                  <o:lock v:ext="edit" aspectratio="f"/>
                </v:shape>
                <v:rect id="矩形 9" o:spid="_x0000_s1026" o:spt="1" style="position:absolute;left:2026920;top:56515;height:540000;width:1440000;v-text-anchor:middle;" filled="f" stroked="t" coordsize="21600,21600" o:gfxdata="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Kb3j9rVAAAABQEAAA8AAAAAAAAAAQAgAAAAIgAAAGRycy9kb3ducmV2LnhtbFBLAQIU&#10;ABQAAAAIAIdO4kAEUIqxaAIAAMkEAAAOAAAAAAAAAAEAIAAAACQBAABkcnMvZTJvRG9jLnhtbFBL&#10;BQYAAAAABgAGAFkBAAD+BQAAAAA=&#10;">
                  <v:fill on="f" focussize="0,0"/>
                  <v:stroke weight="0.5pt" color="#000000 [3213]" joinstyle="round"/>
                  <v:imagedata o:title=""/>
                  <o:lock v:ext="edit" aspectratio="f"/>
                  <v:textbox>
                    <w:txbxContent>
                      <w:p w14:paraId="76147BA7">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水华事件（J）</w:t>
                        </w:r>
                      </w:p>
                    </w:txbxContent>
                  </v:textbox>
                </v:rect>
                <v:rect id="矩形 12" o:spid="_x0000_s1026" o:spt="1" style="position:absolute;left:705485;top:1091565;height:539750;width:1080135;v-text-anchor:middle;" filled="f" stroked="t" coordsize="21600,21600" o:gfxdata="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pveP2tUAAAAFAQAADwAAAAAAAAABACAAAAAiAAAAZHJzL2Rvd25yZXYu&#10;eG1sUEsBAhQAFAAAAAgAh07iQO51xThwAgAAywQAAA4AAAAAAAAAAQAgAAAAJAEAAGRycy9lMm9E&#10;b2MueG1sUEsFBgAAAAAGAAYAWQEAAAYGAAAAAA==&#10;">
                  <v:fill on="f" focussize="0,0"/>
                  <v:stroke weight="0.5pt" color="#000000 [3213]" joinstyle="round"/>
                  <v:imagedata o:title=""/>
                  <o:lock v:ext="edit" aspectratio="f"/>
                  <v:textbox>
                    <w:txbxContent>
                      <w:p w14:paraId="46B81F11">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eastAsia" w:ascii="Times New Roman" w:hAnsi="Times New Roman" w:cs="Times New Roman"/>
                            <w:color w:val="000000" w:themeColor="text1"/>
                            <w:sz w:val="24"/>
                            <w:szCs w:val="32"/>
                            <w:lang w:val="en-US" w:eastAsia="zh-CN"/>
                            <w14:textFill>
                              <w14:solidFill>
                                <w14:schemeClr w14:val="tx1"/>
                              </w14:solidFill>
                            </w14:textFill>
                          </w:rPr>
                          <w:t>无</w:t>
                        </w:r>
                        <w:r>
                          <w:rPr>
                            <w:rFonts w:hint="default" w:ascii="Times New Roman" w:hAnsi="Times New Roman" w:cs="Times New Roman"/>
                            <w:color w:val="000000" w:themeColor="text1"/>
                            <w:sz w:val="24"/>
                            <w:szCs w:val="32"/>
                            <w:lang w:val="en-US" w:eastAsia="zh-CN"/>
                            <w14:textFill>
                              <w14:solidFill>
                                <w14:schemeClr w14:val="tx1"/>
                              </w14:solidFill>
                            </w14:textFill>
                          </w:rPr>
                          <w:t>水华事件（</w:t>
                        </w:r>
                        <w:r>
                          <w:rPr>
                            <w:rFonts w:hint="eastAsia" w:ascii="Times New Roman" w:hAnsi="Times New Roman" w:cs="Times New Roman"/>
                            <w:color w:val="000000" w:themeColor="text1"/>
                            <w:sz w:val="24"/>
                            <w:szCs w:val="32"/>
                            <w:lang w:val="en-US" w:eastAsia="zh-CN"/>
                            <w14:textFill>
                              <w14:solidFill>
                                <w14:schemeClr w14:val="tx1"/>
                              </w14:solidFill>
                            </w14:textFill>
                          </w:rPr>
                          <w:t>C1</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v:textbox>
                </v:rect>
                <v:rect id="矩形 14" o:spid="_x0000_s1026" o:spt="1" style="position:absolute;left:3499485;top:1109980;height:539750;width:1080135;v-text-anchor:middle;" filled="f" stroked="t" coordsize="21600,21600" o:gfxdata="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m94/a1QAAAAUBAAAPAAAAAAAAAAEAIAAAACIAAABkcnMvZG93bnJldi54&#10;bWxQSwECFAAUAAAACACHTuJAmDCEq28CAADMBAAADgAAAAAAAAABACAAAAAkAQAAZHJzL2Uyb0Rv&#10;Yy54bWxQSwUGAAAAAAYABgBZAQAABQYAAAAA&#10;">
                  <v:fill on="f" focussize="0,0"/>
                  <v:stroke weight="0.5pt" color="#000000 [3213]" joinstyle="round"/>
                  <v:imagedata o:title=""/>
                  <o:lock v:ext="edit" aspectratio="f"/>
                  <v:textbox>
                    <w:txbxContent>
                      <w:p w14:paraId="313DBE62">
                        <w:pPr>
                          <w:jc w:val="center"/>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水库型水源</w:t>
                        </w:r>
                      </w:p>
                      <w:p w14:paraId="1C737E47">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地（</w:t>
                        </w:r>
                        <w:r>
                          <w:rPr>
                            <w:rFonts w:hint="eastAsia" w:ascii="Times New Roman" w:hAnsi="Times New Roman" w:cs="Times New Roman"/>
                            <w:color w:val="000000" w:themeColor="text1"/>
                            <w:sz w:val="24"/>
                            <w:szCs w:val="32"/>
                            <w:lang w:val="en-US" w:eastAsia="zh-CN"/>
                            <w14:textFill>
                              <w14:solidFill>
                                <w14:schemeClr w14:val="tx1"/>
                              </w14:solidFill>
                            </w14:textFill>
                          </w:rPr>
                          <w:t>C2</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v:textbox>
                </v:rect>
                <v:group id="组合 21" o:spid="_x0000_s1026" o:spt="203" style="position:absolute;left:15875;top:2312035;height:539750;width:5259070;" coordorigin="25,3991" coordsize="8282,850" o:gfxdata="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">
                  <o:lock v:ext="edit" aspectratio="f"/>
                  <v:rect id="矩形 17" o:spid="_x0000_s1026" o:spt="1" style="position:absolute;left:25;top:3991;height:850;width:1701;v-text-anchor:middle;" filled="f" stroked="t" coordsize="21600,21600" o:gfxdata="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NfM9bgAAADbAAAA&#10;DwAAAAAAAAABACAAAAAiAAAAZHJzL2Rvd25yZXYueG1sUEsBAhQAFAAAAAgAh07iQDMvBZ47AAAA&#10;OQAAABAAAAAAAAAAAQAgAAAABwEAAGRycy9zaGFwZXhtbC54bWxQSwUGAAAAAAYABgBbAQAAsQMA&#10;AAAA&#10;">
                    <v:fill on="f" focussize="0,0"/>
                    <v:stroke weight="0.5pt" color="#000000 [3213]" joinstyle="round"/>
                    <v:imagedata o:title=""/>
                    <o:lock v:ext="edit" aspectratio="f"/>
                    <v:textbox>
                      <w:txbxContent>
                        <w:p w14:paraId="29146561">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水体营养化（</w:t>
                          </w:r>
                          <w:r>
                            <w:rPr>
                              <w:rFonts w:hint="eastAsia" w:ascii="Times New Roman" w:hAnsi="Times New Roman" w:cs="Times New Roman"/>
                              <w:color w:val="000000" w:themeColor="text1"/>
                              <w:sz w:val="24"/>
                              <w:szCs w:val="32"/>
                              <w:lang w:val="en-US" w:eastAsia="zh-CN"/>
                              <w14:textFill>
                                <w14:solidFill>
                                  <w14:schemeClr w14:val="tx1"/>
                                </w14:solidFill>
                              </w14:textFill>
                            </w:rPr>
                            <w:t>P1</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v:textbox>
                  </v:rect>
                  <v:rect id="矩形 18" o:spid="_x0000_s1026" o:spt="1" style="position:absolute;left:2236;top:3991;height:850;width:1701;v-text-anchor:middle;" filled="f" stroked="t" coordsize="21600,21600" o:gfxdata="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KBvbbgAAADbAAAA&#10;DwAAAAAAAAABACAAAAAiAAAAZHJzL2Rvd25yZXYueG1sUEsBAhQAFAAAAAgAh07iQDMvBZ47AAAA&#10;OQAAABAAAAAAAAAAAQAgAAAABwEAAGRycy9zaGFwZXhtbC54bWxQSwUGAAAAAAYABgBbAQAAsQMA&#10;AAAA&#10;">
                    <v:fill on="f" focussize="0,0"/>
                    <v:stroke weight="0.5pt" color="#000000 [3213]" joinstyle="round"/>
                    <v:imagedata o:title=""/>
                    <o:lock v:ext="edit" aspectratio="f"/>
                    <v:textbox>
                      <w:txbxContent>
                        <w:p w14:paraId="18C31CE6">
                          <w:pPr>
                            <w:jc w:val="center"/>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叶绿素α</w:t>
                          </w:r>
                        </w:p>
                        <w:p w14:paraId="001D9718">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P2</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v:textbox>
                  </v:rect>
                  <v:rect id="矩形 19" o:spid="_x0000_s1026" o:spt="1" style="position:absolute;left:4431;top:3991;height:850;width:1701;v-text-anchor:middle;" filled="f" stroked="t" coordsize="21600,21600" o:gfxdata="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ET/7H7UAAADbAAAADwAA&#10;AAAAAAABACAAAAAiAAAAZHJzL2Rvd25yZXYueG1sUEsBAhQAFAAAAAgAh07iQDMvBZ47AAAAOQAA&#10;ABAAAAAAAAAAAQAgAAAABAEAAGRycy9zaGFwZXhtbC54bWxQSwUGAAAAAAYABgBbAQAArgMAAAAA&#10;">
                    <v:fill on="f" focussize="0,0"/>
                    <v:stroke weight="0.5pt" color="#000000 [3213]" joinstyle="round"/>
                    <v:imagedata o:title=""/>
                    <o:lock v:ext="edit" aspectratio="f"/>
                    <v:textbox>
                      <w:txbxContent>
                        <w:p w14:paraId="185BE516">
                          <w:pPr>
                            <w:jc w:val="center"/>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光热因素</w:t>
                          </w:r>
                        </w:p>
                        <w:p w14:paraId="21B7098E">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P1</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v:textbox>
                  </v:rect>
                  <v:rect id="矩形 20" o:spid="_x0000_s1026" o:spt="1" style="position:absolute;left:6607;top:3991;height:850;width:1701;v-text-anchor:middle;" filled="f" stroked="t" coordsize="21600,21600" o:gfxdata="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nNehLgAAADbAAAA&#10;DwAAAAAAAAABACAAAAAiAAAAZHJzL2Rvd25yZXYueG1sUEsBAhQAFAAAAAgAh07iQDMvBZ47AAAA&#10;OQAAABAAAAAAAAAAAQAgAAAABwEAAGRycy9zaGFwZXhtbC54bWxQSwUGAAAAAAYABgBbAQAAsQMA&#10;AAAA&#10;">
                    <v:fill on="f" focussize="0,0"/>
                    <v:stroke weight="0.5pt" color="#000000 [3213]" joinstyle="round"/>
                    <v:imagedata o:title=""/>
                    <o:lock v:ext="edit" aspectratio="f"/>
                    <v:textbox>
                      <w:txbxContent>
                        <w:p w14:paraId="06AB139B">
                          <w:pPr>
                            <w:jc w:val="center"/>
                            <w:rPr>
                              <w:rFonts w:hint="default" w:ascii="Times New Roman" w:hAnsi="Times New Roman" w:cs="Times New Roman"/>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水动力因素</w:t>
                          </w:r>
                        </w:p>
                        <w:p w14:paraId="1ACFB8F7">
                          <w:pPr>
                            <w:jc w:val="center"/>
                            <w:rPr>
                              <w:rFonts w:hint="default" w:ascii="Times New Roman" w:hAnsi="Times New Roman" w:cs="Times New Roman" w:eastAsiaTheme="minorEastAsia"/>
                              <w:color w:val="000000" w:themeColor="text1"/>
                              <w:sz w:val="24"/>
                              <w:szCs w:val="32"/>
                              <w:lang w:val="en-US" w:eastAsia="zh-CN"/>
                              <w14:textFill>
                                <w14:solidFill>
                                  <w14:schemeClr w14:val="tx1"/>
                                </w14:solidFill>
                              </w14:textFill>
                            </w:rPr>
                          </w:pPr>
                          <w:r>
                            <w:rPr>
                              <w:rFonts w:hint="default" w:ascii="Times New Roman" w:hAnsi="Times New Roman" w:cs="Times New Roman"/>
                              <w:color w:val="000000" w:themeColor="text1"/>
                              <w:sz w:val="24"/>
                              <w:szCs w:val="32"/>
                              <w:lang w:val="en-US" w:eastAsia="zh-CN"/>
                              <w14:textFill>
                                <w14:solidFill>
                                  <w14:schemeClr w14:val="tx1"/>
                                </w14:solidFill>
                              </w14:textFill>
                            </w:rPr>
                            <w:t>（</w:t>
                          </w:r>
                          <w:r>
                            <w:rPr>
                              <w:rFonts w:hint="eastAsia" w:ascii="Times New Roman" w:hAnsi="Times New Roman" w:cs="Times New Roman"/>
                              <w:color w:val="000000" w:themeColor="text1"/>
                              <w:sz w:val="24"/>
                              <w:szCs w:val="32"/>
                              <w:lang w:val="en-US" w:eastAsia="zh-CN"/>
                              <w14:textFill>
                                <w14:solidFill>
                                  <w14:schemeClr w14:val="tx1"/>
                                </w14:solidFill>
                              </w14:textFill>
                            </w:rPr>
                            <w:t>P1</w:t>
                          </w:r>
                          <w:r>
                            <w:rPr>
                              <w:rFonts w:hint="default" w:ascii="Times New Roman" w:hAnsi="Times New Roman" w:cs="Times New Roman"/>
                              <w:color w:val="000000" w:themeColor="text1"/>
                              <w:sz w:val="24"/>
                              <w:szCs w:val="32"/>
                              <w:lang w:val="en-US" w:eastAsia="zh-CN"/>
                              <w14:textFill>
                                <w14:solidFill>
                                  <w14:schemeClr w14:val="tx1"/>
                                </w14:solidFill>
                              </w14:textFill>
                            </w:rPr>
                            <w:t>）</w:t>
                          </w:r>
                        </w:p>
                      </w:txbxContent>
                    </v:textbox>
                  </v:rect>
                </v:group>
                <v:line id="直接连接符 23" o:spid="_x0000_s1026" o:spt="20" style="position:absolute;left:4039870;top:1649730;height:727075;width:714375;" filled="f" stroked="t" coordsize="21600,21600" o:gfxdata="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Urjdn9cAAAAFAQAADwAAAAAAAAABACAAAAAiAAAAZHJzL2Rvd25yZXYueG1s&#10;UEsBAhQAFAAAAAgAh07iQHrhwiv5AQAA1AMAAA4AAAAAAAAAAQAgAAAAJgEAAGRycy9lMm9Eb2Mu&#10;eG1sUEsFBgAAAAAGAAYAWQEAAJEFAAAAAA==&#10;">
                  <v:fill on="f" focussize="0,0"/>
                  <v:stroke weight="1pt" color="#000000 [3213]" joinstyle="round"/>
                  <v:imagedata o:title=""/>
                  <o:lock v:ext="edit" aspectratio="f"/>
                </v:line>
                <v:line id="直接连接符 24" o:spid="_x0000_s1026" o:spt="20" style="position:absolute;left:1245870;top:596265;flip:x;height:504190;width:1501140;" filled="f" stroked="t" coordsize="21600,21600" o:gfxdata="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cfhd9gAAAAFAQAADwAAAAAAAAABACAAAAAiAAAAZHJzL2Rvd25yZXYueG1sUEsBAhQA&#10;FAAAAAgAh07iQGRuEWnyAQAAtgMAAA4AAAAAAAAAAQAgAAAAJwEAAGRycy9lMm9Eb2MueG1sUEsF&#10;BgAAAAAGAAYAWQEAAIsFAAAAAA==&#10;">
                  <v:fill on="f" focussize="0,0"/>
                  <v:stroke weight="0.5pt" color="#000000 [3213]" joinstyle="round"/>
                  <v:imagedata o:title=""/>
                  <o:lock v:ext="edit" aspectratio="f"/>
                </v:line>
                <v:line id="直接连接符 25" o:spid="_x0000_s1026" o:spt="20" style="position:absolute;left:2747010;top:596265;height:514985;width:1421130;" filled="f" stroked="t" coordsize="21600,21600" o:gfxdata="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gKb9rTAAAABQEAAA8AAAAAAAAAAQAgAAAAIgAAAGRycy9kb3du&#10;cmV2LnhtbFBLAQIUABQAAAAIAIdO4kBSRxFCBAIAAO0DAAAOAAAAAAAAAAEAIAAAACIBAABkcnMv&#10;ZTJvRG9jLnhtbFBLBQYAAAAABgAGAFkBAACYBQAAAAA=&#10;">
                  <v:fill on="f" focussize="0,0"/>
                  <v:stroke weight="0.5pt" color="#000000 [3213]" joinstyle="round"/>
                  <v:imagedata o:title=""/>
                  <o:lock v:ext="edit" aspectratio="f"/>
                </v:line>
                <v:line id="直接连接符 33" o:spid="_x0000_s1026" o:spt="20" style="position:absolute;left:556260;top:1640205;flip:x;height:671830;width:689610;" filled="f" stroked="t" coordsize="21600,21600" o:gfxdata="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9x+F32AAAAAUBAAAPAAAAAAAAAAEAIAAAACIAAABkcnMvZG93bnJldi54bWxQSwECFAAU&#10;AAAACACHTuJAY6siCPEBAAC1AwAADgAAAAAAAAABACAAAAAnAQAAZHJzL2Uyb0RvYy54bWxQSwUG&#10;AAAAAAYABgBZAQAAigUAAAAA&#10;">
                  <v:fill on="f" focussize="0,0"/>
                  <v:stroke weight="0.5pt" color="#000000 [3213]" joinstyle="round"/>
                  <v:imagedata o:title=""/>
                  <o:lock v:ext="edit" aspectratio="f"/>
                </v:line>
                <v:line id="直接连接符 34" o:spid="_x0000_s1026" o:spt="20" style="position:absolute;left:1245870;top:1631315;height:680720;width:714375;" filled="f" stroked="t" coordsize="21600,21600" o:gfxdata="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Apv2tMA&#10;AAAFAQAADwAAAAAAAAABACAAAAAiAAAAZHJzL2Rvd25yZXYueG1sUEsBAhQAFAAAAAgAh07iQMkq&#10;R8brAQAArAMAAA4AAAAAAAAAAQAgAAAAIgEAAGRycy9lMm9Eb2MueG1sUEsFBgAAAAAGAAYAWQEA&#10;AH8FAAAAAA==&#10;">
                  <v:fill on="f" focussize="0,0"/>
                  <v:stroke weight="0.5pt" color="#000000 [3213]" joinstyle="round"/>
                  <v:imagedata o:title=""/>
                  <o:lock v:ext="edit" aspectratio="f"/>
                </v:line>
                <v:line id="直接连接符 35" o:spid="_x0000_s1026" o:spt="20" style="position:absolute;left:1245870;top:1640205;height:671830;width:2108200;" filled="f" stroked="t" coordsize="21600,21600" o:gfxdata="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gKb9rTAAAA&#10;BQEAAA8AAAAAAAAAAQAgAAAAIgAAAGRycy9kb3ducmV2LnhtbFBLAQIUABQAAAAIAIdO4kBAdhyw&#10;6QEAAK0DAAAOAAAAAAAAAAEAIAAAACIBAABkcnMvZTJvRG9jLnhtbFBLBQYAAAAABgAGAFkBAAB9&#10;BQAAAAA=&#10;">
                  <v:fill on="f" focussize="0,0"/>
                  <v:stroke weight="0.5pt" color="#000000 [3213]" joinstyle="round"/>
                  <v:imagedata o:title=""/>
                  <o:lock v:ext="edit" aspectratio="f"/>
                </v:line>
                <v:line id="直接连接符 36" o:spid="_x0000_s1026" o:spt="20" style="position:absolute;left:1232535;top:1628140;height:683895;width:3503295;" filled="f" stroked="t" coordsize="21600,21600" o:gfxdata="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oCm/a0wAAAAUBAAAPAAAAAAAAAAEAIAAAACIAAABkcnMvZG93bnJldi54bWxQSwEC&#10;FAAUAAAACACHTuJAHQ3ySvkBAADVAwAADgAAAAAAAAABACAAAAAiAQAAZHJzL2Uyb0RvYy54bWxQ&#10;SwUGAAAAAAYABgBZAQAAjQUAAAAA&#10;">
                  <v:fill on="f" focussize="0,0"/>
                  <v:stroke weight="0.5pt" color="#000000 [3213]" joinstyle="round"/>
                  <v:imagedata o:title=""/>
                  <o:lock v:ext="edit" aspectratio="f"/>
                </v:line>
                <v:line id="直接连接符 46" o:spid="_x0000_s1026" o:spt="20" style="position:absolute;left:556260;top:1649730;flip:x;height:662305;width:3483610;" filled="f" stroked="t" coordsize="21600,21600" o:gfxdata="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fhd9gAAAAFAQAADwAAAAAAAAABACAAAAAi&#10;AAAAZHJzL2Rvd25yZXYueG1sUEsBAhQAFAAAAAgAh07iQPcO6hoKAgAA+AMAAA4AAAAAAAAAAQAg&#10;AAAAJwEAAGRycy9lMm9Eb2MueG1sUEsFBgAAAAAGAAYAWQEAAKMFAAAAAA==&#10;">
                  <v:fill on="f" focussize="0,0"/>
                  <v:stroke weight="0.5pt" color="#000000 [3213]" joinstyle="round"/>
                  <v:imagedata o:title=""/>
                  <o:lock v:ext="edit" aspectratio="f"/>
                </v:line>
                <v:line id="直接连接符 83" o:spid="_x0000_s1026" o:spt="20" style="position:absolute;left:1960245;top:1656715;flip:x;height:655320;width:2054860;" filled="f" stroked="t" coordsize="21600,21600" o:gfxdata="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3H4XfYAAAABQEAAA8AAAAAAAAAAQAgAAAAIgAAAGRycy9kb3ducmV2LnhtbFBLAQIU&#10;ABQAAAAIAIdO4kAEBm908wEAALcDAAAOAAAAAAAAAAEAIAAAACcBAABkcnMvZTJvRG9jLnhtbFBL&#10;BQYAAAAABgAGAFkBAACMBQAAAAA=&#10;">
                  <v:fill on="f" focussize="0,0"/>
                  <v:stroke weight="0.5pt" color="#000000 [3213]" joinstyle="round"/>
                  <v:imagedata o:title=""/>
                  <o:lock v:ext="edit" aspectratio="f"/>
                </v:line>
                <v:line id="直接连接符 87" o:spid="_x0000_s1026" o:spt="20" style="position:absolute;left:3354070;top:1647190;flip:x;height:664845;width:680085;" filled="f" stroked="t" coordsize="21600,21600" o:gfxdata="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3H4XfYAAAABQEAAA8AAAAAAAAAAQAgAAAAIgAAAGRycy9kb3ducmV2LnhtbFBLAQIUABQA&#10;AAAIAIdO4kCrfD4X8AEAALYDAAAOAAAAAAAAAAEAIAAAACcBAABkcnMvZTJvRG9jLnhtbFBLBQYA&#10;AAAABgAGAFkBAACJBQAAAAA=&#10;">
                  <v:fill on="f" focussize="0,0"/>
                  <v:stroke weight="0.5pt" color="#000000 [3213]" joinstyle="round"/>
                  <v:imagedata o:title=""/>
                  <o:lock v:ext="edit" aspectratio="f"/>
                </v:line>
                <w10:wrap type="none"/>
                <w10:anchorlock/>
              </v:group>
            </w:pict>
          </mc:Fallback>
        </mc:AlternateContent>
      </w:r>
    </w:p>
    <w:p w14:paraId="34A3300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图</w:t>
      </w:r>
      <w:r>
        <w:rPr>
          <w:rFonts w:hint="eastAsia" w:ascii="Times New Roman" w:hAnsi="Times New Roman" w:cs="Times New Roman"/>
          <w:b/>
          <w:bCs/>
          <w:color w:val="auto"/>
          <w:sz w:val="24"/>
          <w:szCs w:val="24"/>
          <w:lang w:val="en-US" w:eastAsia="zh-CN"/>
        </w:rPr>
        <w:t>4-1</w:t>
      </w:r>
      <w:r>
        <w:rPr>
          <w:rFonts w:hint="default" w:ascii="Times New Roman" w:hAnsi="Times New Roman" w:cs="Times New Roman" w:eastAsiaTheme="minorEastAsia"/>
          <w:b/>
          <w:bCs/>
          <w:color w:val="auto"/>
          <w:sz w:val="24"/>
          <w:szCs w:val="24"/>
          <w:lang w:val="en-US" w:eastAsia="zh-CN"/>
        </w:rPr>
        <w:t xml:space="preserve"> 水华事件层次分析图</w:t>
      </w:r>
    </w:p>
    <w:p w14:paraId="7EB1A2DA">
      <w:pPr>
        <w:keepNext w:val="0"/>
        <w:keepLines w:val="0"/>
        <w:pageBreakBefore w:val="0"/>
        <w:widowControl w:val="0"/>
        <w:kinsoku/>
        <w:wordWrap/>
        <w:overflowPunct/>
        <w:topLinePunct w:val="0"/>
        <w:autoSpaceDE/>
        <w:autoSpaceDN/>
        <w:bidi w:val="0"/>
        <w:adjustRightInd/>
        <w:snapToGrid/>
        <w:spacing w:before="0" w:beforeLines="50" w:line="360" w:lineRule="auto"/>
        <w:ind w:firstLine="560" w:firstLineChars="200"/>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将水华事件（J）设定为目标层A（最高层），将无水华事件（C1）、水库型水源地（C2）作为准则层C（中间层），将水体营养化（P1）、水动力因素（P2）、光热因素（P3）、叶绿素α（P4）设定为方案层P（最低层）。</w:t>
      </w:r>
    </w:p>
    <w:p w14:paraId="0649365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根据发生水华事件的特点，初步判定：C2＞C1，建立判断矩阵（J-C），见表</w:t>
      </w:r>
      <w:r>
        <w:rPr>
          <w:rFonts w:hint="eastAsia" w:ascii="Times New Roman" w:hAnsi="Times New Roman" w:eastAsia="仿宋_GB2312" w:cs="Times New Roman"/>
          <w:color w:val="auto"/>
          <w:sz w:val="28"/>
          <w:szCs w:val="28"/>
          <w:lang w:val="en-US" w:eastAsia="zh-CN"/>
        </w:rPr>
        <w:t>4-2</w:t>
      </w:r>
      <w:r>
        <w:rPr>
          <w:rFonts w:hint="default" w:ascii="Times New Roman" w:hAnsi="Times New Roman" w:eastAsia="仿宋_GB2312" w:cs="Times New Roman"/>
          <w:color w:val="auto"/>
          <w:sz w:val="28"/>
          <w:szCs w:val="28"/>
          <w:lang w:val="en-US" w:eastAsia="zh-CN"/>
        </w:rPr>
        <w:t>。</w:t>
      </w:r>
    </w:p>
    <w:p w14:paraId="1DA9F13B">
      <w:pPr>
        <w:keepNext w:val="0"/>
        <w:keepLines w:val="0"/>
        <w:pageBreakBefore w:val="0"/>
        <w:widowControl w:val="0"/>
        <w:kinsoku/>
        <w:wordWrap/>
        <w:overflowPunct/>
        <w:topLinePunct w:val="0"/>
        <w:autoSpaceDE/>
        <w:autoSpaceDN/>
        <w:bidi w:val="0"/>
        <w:adjustRightInd w:val="0"/>
        <w:snapToGrid w:val="0"/>
        <w:spacing w:before="0" w:beforeLines="50" w:line="240" w:lineRule="auto"/>
        <w:jc w:val="center"/>
        <w:textAlignment w:val="auto"/>
        <w:rPr>
          <w:rFonts w:hint="default" w:ascii="Times New Roman" w:hAnsi="Times New Roman" w:cs="Times New Roman"/>
          <w:b/>
          <w:bCs/>
          <w:color w:val="auto"/>
          <w:sz w:val="24"/>
          <w:szCs w:val="24"/>
          <w:lang w:val="en-US" w:eastAsia="en-US"/>
        </w:rPr>
      </w:pPr>
      <w:r>
        <w:rPr>
          <w:rFonts w:hint="default" w:ascii="Times New Roman" w:hAnsi="Times New Roman" w:cs="Times New Roman"/>
          <w:b/>
          <w:bCs/>
          <w:color w:val="auto"/>
          <w:sz w:val="24"/>
          <w:szCs w:val="24"/>
          <w:lang w:val="en-US" w:eastAsia="en-US"/>
        </w:rPr>
        <w:t>表</w:t>
      </w:r>
      <w:r>
        <w:rPr>
          <w:rFonts w:hint="eastAsia" w:ascii="Times New Roman" w:hAnsi="Times New Roman" w:cs="Times New Roman"/>
          <w:b/>
          <w:bCs/>
          <w:color w:val="auto"/>
          <w:sz w:val="24"/>
          <w:szCs w:val="24"/>
          <w:lang w:val="en-US" w:eastAsia="zh-CN"/>
        </w:rPr>
        <w:t>4-2</w:t>
      </w:r>
      <w:r>
        <w:rPr>
          <w:rFonts w:hint="default" w:ascii="Times New Roman" w:hAnsi="Times New Roman" w:cs="Times New Roman"/>
          <w:b/>
          <w:bCs/>
          <w:color w:val="auto"/>
          <w:sz w:val="24"/>
          <w:szCs w:val="24"/>
          <w:lang w:val="en-US" w:eastAsia="en-US"/>
        </w:rPr>
        <w:t>判断矩阵（J-C）</w:t>
      </w:r>
    </w:p>
    <w:tbl>
      <w:tblPr>
        <w:tblStyle w:val="13"/>
        <w:tblW w:w="62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7"/>
        <w:gridCol w:w="2073"/>
        <w:gridCol w:w="2073"/>
      </w:tblGrid>
      <w:tr w14:paraId="05A80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077" w:type="dxa"/>
            <w:vAlign w:val="center"/>
          </w:tcPr>
          <w:p w14:paraId="6216F45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eastAsiaTheme="minorEastAsia"/>
                <w:b/>
                <w:bCs/>
                <w:color w:val="auto"/>
                <w:sz w:val="24"/>
                <w:szCs w:val="24"/>
                <w:lang w:eastAsia="zh-CN"/>
              </w:rPr>
            </w:pPr>
            <w:r>
              <w:rPr>
                <w:rFonts w:hint="default" w:ascii="Times New Roman" w:hAnsi="Times New Roman" w:cs="Times New Roman"/>
                <w:b/>
                <w:bCs/>
                <w:color w:val="auto"/>
                <w:sz w:val="24"/>
                <w:szCs w:val="24"/>
                <w:lang w:eastAsia="zh-CN"/>
              </w:rPr>
              <w:t>——</w:t>
            </w:r>
          </w:p>
        </w:tc>
        <w:tc>
          <w:tcPr>
            <w:tcW w:w="2073" w:type="dxa"/>
            <w:vAlign w:val="center"/>
          </w:tcPr>
          <w:p w14:paraId="55284B1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10"/>
                <w:position w:val="1"/>
                <w:sz w:val="24"/>
                <w:szCs w:val="24"/>
              </w:rPr>
              <w:t>C1</w:t>
            </w:r>
          </w:p>
        </w:tc>
        <w:tc>
          <w:tcPr>
            <w:tcW w:w="2073" w:type="dxa"/>
            <w:vAlign w:val="center"/>
          </w:tcPr>
          <w:p w14:paraId="37798BE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4"/>
                <w:position w:val="1"/>
                <w:sz w:val="24"/>
                <w:szCs w:val="24"/>
              </w:rPr>
              <w:t>C2</w:t>
            </w:r>
          </w:p>
        </w:tc>
      </w:tr>
      <w:tr w14:paraId="72B76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077" w:type="dxa"/>
            <w:vAlign w:val="center"/>
          </w:tcPr>
          <w:p w14:paraId="790C671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10"/>
                <w:position w:val="1"/>
                <w:sz w:val="24"/>
                <w:szCs w:val="24"/>
              </w:rPr>
              <w:t>C1</w:t>
            </w:r>
          </w:p>
        </w:tc>
        <w:tc>
          <w:tcPr>
            <w:tcW w:w="2073" w:type="dxa"/>
            <w:vAlign w:val="center"/>
          </w:tcPr>
          <w:p w14:paraId="4A67848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val="0"/>
                <w:bCs w:val="0"/>
                <w:color w:val="auto"/>
                <w:spacing w:val="10"/>
                <w:position w:val="1"/>
                <w:sz w:val="24"/>
                <w:szCs w:val="24"/>
              </w:rPr>
            </w:pPr>
            <w:r>
              <w:rPr>
                <w:rFonts w:hint="default" w:ascii="Times New Roman" w:hAnsi="Times New Roman" w:eastAsia="Times New Roman" w:cs="Times New Roman"/>
                <w:b w:val="0"/>
                <w:bCs w:val="0"/>
                <w:color w:val="auto"/>
                <w:spacing w:val="10"/>
                <w:position w:val="1"/>
                <w:sz w:val="24"/>
                <w:szCs w:val="24"/>
              </w:rPr>
              <w:t>1</w:t>
            </w:r>
          </w:p>
        </w:tc>
        <w:tc>
          <w:tcPr>
            <w:tcW w:w="2073" w:type="dxa"/>
            <w:vAlign w:val="center"/>
          </w:tcPr>
          <w:p w14:paraId="2FE46BCB">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Times New Roman" w:hAnsi="Times New Roman" w:eastAsia="宋体" w:cs="Times New Roman"/>
                <w:b w:val="0"/>
                <w:bCs w:val="0"/>
                <w:color w:val="auto"/>
                <w:spacing w:val="10"/>
                <w:position w:val="1"/>
                <w:sz w:val="24"/>
                <w:szCs w:val="24"/>
                <w:lang w:eastAsia="zh-CN"/>
              </w:rPr>
            </w:pPr>
            <w:r>
              <w:rPr>
                <w:rFonts w:hint="default" w:ascii="Times New Roman" w:hAnsi="Times New Roman" w:eastAsia="Times New Roman" w:cs="Times New Roman"/>
                <w:b w:val="0"/>
                <w:bCs w:val="0"/>
                <w:color w:val="auto"/>
                <w:spacing w:val="10"/>
                <w:position w:val="1"/>
                <w:sz w:val="24"/>
                <w:szCs w:val="24"/>
              </w:rPr>
              <w:t>1/</w:t>
            </w:r>
            <w:r>
              <w:rPr>
                <w:rFonts w:hint="eastAsia" w:ascii="Times New Roman" w:hAnsi="Times New Roman" w:eastAsia="宋体" w:cs="Times New Roman"/>
                <w:b w:val="0"/>
                <w:bCs w:val="0"/>
                <w:color w:val="auto"/>
                <w:spacing w:val="10"/>
                <w:position w:val="1"/>
                <w:sz w:val="24"/>
                <w:szCs w:val="24"/>
                <w:lang w:val="en-US" w:eastAsia="zh-CN"/>
              </w:rPr>
              <w:t>2</w:t>
            </w:r>
          </w:p>
        </w:tc>
      </w:tr>
      <w:tr w14:paraId="6F2D2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077" w:type="dxa"/>
            <w:vAlign w:val="center"/>
          </w:tcPr>
          <w:p w14:paraId="77E174E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4"/>
                <w:position w:val="1"/>
                <w:sz w:val="24"/>
                <w:szCs w:val="24"/>
              </w:rPr>
              <w:t>C2</w:t>
            </w:r>
          </w:p>
        </w:tc>
        <w:tc>
          <w:tcPr>
            <w:tcW w:w="2073" w:type="dxa"/>
            <w:vAlign w:val="center"/>
          </w:tcPr>
          <w:p w14:paraId="6D82B07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val="0"/>
                <w:bCs w:val="0"/>
                <w:color w:val="auto"/>
                <w:spacing w:val="10"/>
                <w:position w:val="1"/>
                <w:sz w:val="24"/>
                <w:szCs w:val="24"/>
                <w:lang w:eastAsia="zh-CN"/>
              </w:rPr>
            </w:pPr>
            <w:r>
              <w:rPr>
                <w:rFonts w:hint="eastAsia" w:ascii="Times New Roman" w:hAnsi="Times New Roman" w:eastAsia="Times New Roman" w:cs="Times New Roman"/>
                <w:b w:val="0"/>
                <w:bCs w:val="0"/>
                <w:color w:val="auto"/>
                <w:spacing w:val="10"/>
                <w:position w:val="1"/>
                <w:sz w:val="24"/>
                <w:szCs w:val="24"/>
                <w:lang w:val="en-US" w:eastAsia="zh-CN"/>
              </w:rPr>
              <w:t>2</w:t>
            </w:r>
          </w:p>
        </w:tc>
        <w:tc>
          <w:tcPr>
            <w:tcW w:w="2073" w:type="dxa"/>
            <w:vAlign w:val="center"/>
          </w:tcPr>
          <w:p w14:paraId="58B3981B">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val="0"/>
                <w:bCs w:val="0"/>
                <w:color w:val="auto"/>
                <w:spacing w:val="10"/>
                <w:position w:val="1"/>
                <w:sz w:val="24"/>
                <w:szCs w:val="24"/>
              </w:rPr>
            </w:pPr>
            <w:r>
              <w:rPr>
                <w:rFonts w:hint="default" w:ascii="Times New Roman" w:hAnsi="Times New Roman" w:eastAsia="Times New Roman" w:cs="Times New Roman"/>
                <w:b w:val="0"/>
                <w:bCs w:val="0"/>
                <w:color w:val="auto"/>
                <w:spacing w:val="10"/>
                <w:position w:val="1"/>
                <w:sz w:val="24"/>
                <w:szCs w:val="24"/>
              </w:rPr>
              <w:t>1</w:t>
            </w:r>
          </w:p>
        </w:tc>
      </w:tr>
    </w:tbl>
    <w:p w14:paraId="02380047">
      <w:pPr>
        <w:keepNext w:val="0"/>
        <w:keepLines w:val="0"/>
        <w:pageBreakBefore w:val="0"/>
        <w:widowControl w:val="0"/>
        <w:kinsoku/>
        <w:wordWrap/>
        <w:overflowPunct/>
        <w:topLinePunct w:val="0"/>
        <w:autoSpaceDE/>
        <w:autoSpaceDN/>
        <w:bidi w:val="0"/>
        <w:adjustRightInd/>
        <w:snapToGrid/>
        <w:spacing w:before="0" w:beforeLines="50" w:line="360" w:lineRule="auto"/>
        <w:ind w:firstLine="560" w:firstLineChars="200"/>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计算结果：最大特征值λmax=2.000，CI=0，CR=0＜0.1，一致性检验合格。准则层权重：C1=0.333，C2=0.667。结果表明：水库型水源地专属环境特征是决定水华爆发风险的主导准则条件。</w:t>
      </w:r>
    </w:p>
    <w:p w14:paraId="7DBD3E0F">
      <w:pPr>
        <w:keepNext w:val="0"/>
        <w:keepLines w:val="0"/>
        <w:pageBreakBefore w:val="0"/>
        <w:widowControl w:val="0"/>
        <w:kinsoku/>
        <w:wordWrap/>
        <w:overflowPunct/>
        <w:topLinePunct w:val="0"/>
        <w:autoSpaceDE/>
        <w:autoSpaceDN/>
        <w:bidi w:val="0"/>
        <w:adjustRightInd/>
        <w:snapToGrid/>
        <w:spacing w:before="0" w:beforeLines="50" w:line="360" w:lineRule="auto"/>
        <w:ind w:firstLine="560" w:firstLineChars="200"/>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基于无水华稳态条件，水体低营养化、低叶绿素α是核心基础，光热、水动力为辅助条件，构建四因子判断矩阵（C2-P）。水库型水源地判定矩阵见表</w:t>
      </w:r>
      <w:r>
        <w:rPr>
          <w:rFonts w:hint="eastAsia" w:ascii="Times New Roman" w:hAnsi="Times New Roman" w:eastAsia="仿宋_GB2312" w:cs="Times New Roman"/>
          <w:color w:val="auto"/>
          <w:sz w:val="28"/>
          <w:szCs w:val="28"/>
          <w:lang w:val="en-US" w:eastAsia="zh-CN"/>
        </w:rPr>
        <w:t>4-3</w:t>
      </w:r>
      <w:r>
        <w:rPr>
          <w:rFonts w:hint="default" w:ascii="Times New Roman" w:hAnsi="Times New Roman" w:eastAsia="仿宋_GB2312" w:cs="Times New Roman"/>
          <w:color w:val="auto"/>
          <w:sz w:val="28"/>
          <w:szCs w:val="28"/>
          <w:lang w:val="en-US" w:eastAsia="zh-CN"/>
        </w:rPr>
        <w:t>。</w:t>
      </w:r>
    </w:p>
    <w:p w14:paraId="6CF62E37">
      <w:pPr>
        <w:keepNext w:val="0"/>
        <w:keepLines w:val="0"/>
        <w:pageBreakBefore w:val="0"/>
        <w:widowControl w:val="0"/>
        <w:kinsoku/>
        <w:wordWrap/>
        <w:overflowPunct/>
        <w:topLinePunct w:val="0"/>
        <w:autoSpaceDE/>
        <w:autoSpaceDN/>
        <w:bidi w:val="0"/>
        <w:adjustRightInd w:val="0"/>
        <w:snapToGrid w:val="0"/>
        <w:spacing w:before="0" w:beforeLines="50" w:line="240" w:lineRule="auto"/>
        <w:jc w:val="center"/>
        <w:textAlignment w:val="auto"/>
        <w:rPr>
          <w:rFonts w:hint="default" w:ascii="Times New Roman" w:hAnsi="Times New Roman" w:cs="Times New Roman"/>
          <w:b/>
          <w:bCs/>
          <w:color w:val="auto"/>
          <w:sz w:val="24"/>
          <w:szCs w:val="24"/>
          <w:lang w:val="en-US" w:eastAsia="en-US"/>
        </w:rPr>
      </w:pPr>
      <w:r>
        <w:rPr>
          <w:rFonts w:hint="default" w:ascii="Times New Roman" w:hAnsi="Times New Roman" w:cs="Times New Roman"/>
          <w:b/>
          <w:bCs/>
          <w:color w:val="auto"/>
          <w:sz w:val="24"/>
          <w:szCs w:val="24"/>
          <w:lang w:val="en-US" w:eastAsia="en-US"/>
        </w:rPr>
        <w:t>表</w:t>
      </w:r>
      <w:r>
        <w:rPr>
          <w:rFonts w:hint="eastAsia" w:ascii="Times New Roman" w:hAnsi="Times New Roman" w:cs="Times New Roman"/>
          <w:b/>
          <w:bCs/>
          <w:color w:val="auto"/>
          <w:sz w:val="24"/>
          <w:szCs w:val="24"/>
          <w:lang w:val="en-US" w:eastAsia="zh-CN"/>
        </w:rPr>
        <w:t>4-3</w:t>
      </w:r>
      <w:r>
        <w:rPr>
          <w:rFonts w:hint="default" w:ascii="Times New Roman" w:hAnsi="Times New Roman" w:cs="Times New Roman"/>
          <w:b/>
          <w:bCs/>
          <w:color w:val="auto"/>
          <w:sz w:val="24"/>
          <w:szCs w:val="24"/>
          <w:lang w:val="en-US" w:eastAsia="en-US"/>
        </w:rPr>
        <w:t xml:space="preserve"> 水库型水源地判定矩阵（C2-P）</w:t>
      </w:r>
    </w:p>
    <w:tbl>
      <w:tblPr>
        <w:tblStyle w:val="13"/>
        <w:tblW w:w="830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3"/>
        <w:gridCol w:w="1658"/>
        <w:gridCol w:w="1658"/>
        <w:gridCol w:w="1658"/>
        <w:gridCol w:w="1663"/>
      </w:tblGrid>
      <w:tr w14:paraId="7BD86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63" w:type="dxa"/>
            <w:vAlign w:val="center"/>
          </w:tcPr>
          <w:p w14:paraId="6800647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lang w:eastAsia="zh-CN"/>
              </w:rPr>
              <w:t>——</w:t>
            </w:r>
          </w:p>
        </w:tc>
        <w:tc>
          <w:tcPr>
            <w:tcW w:w="1658" w:type="dxa"/>
            <w:vAlign w:val="center"/>
          </w:tcPr>
          <w:p w14:paraId="4BA3D6C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12"/>
                <w:position w:val="1"/>
                <w:sz w:val="24"/>
                <w:szCs w:val="24"/>
              </w:rPr>
              <w:t>P1</w:t>
            </w:r>
          </w:p>
        </w:tc>
        <w:tc>
          <w:tcPr>
            <w:tcW w:w="1658" w:type="dxa"/>
            <w:vAlign w:val="center"/>
          </w:tcPr>
          <w:p w14:paraId="7EB46BDB">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2"/>
                <w:position w:val="1"/>
                <w:sz w:val="24"/>
                <w:szCs w:val="24"/>
              </w:rPr>
              <w:t>P2</w:t>
            </w:r>
          </w:p>
        </w:tc>
        <w:tc>
          <w:tcPr>
            <w:tcW w:w="1658" w:type="dxa"/>
            <w:vAlign w:val="center"/>
          </w:tcPr>
          <w:p w14:paraId="501D2D3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2"/>
                <w:position w:val="2"/>
                <w:sz w:val="24"/>
                <w:szCs w:val="24"/>
              </w:rPr>
              <w:t>P3</w:t>
            </w:r>
          </w:p>
        </w:tc>
        <w:tc>
          <w:tcPr>
            <w:tcW w:w="1663" w:type="dxa"/>
            <w:vAlign w:val="center"/>
          </w:tcPr>
          <w:p w14:paraId="3EEBDA2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2"/>
                <w:position w:val="1"/>
                <w:sz w:val="24"/>
                <w:szCs w:val="24"/>
              </w:rPr>
              <w:t>P4</w:t>
            </w:r>
          </w:p>
        </w:tc>
      </w:tr>
      <w:tr w14:paraId="590ED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63" w:type="dxa"/>
            <w:vAlign w:val="center"/>
          </w:tcPr>
          <w:p w14:paraId="68586CD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12"/>
                <w:position w:val="1"/>
                <w:sz w:val="24"/>
                <w:szCs w:val="24"/>
              </w:rPr>
              <w:t>P1</w:t>
            </w:r>
          </w:p>
        </w:tc>
        <w:tc>
          <w:tcPr>
            <w:tcW w:w="1658" w:type="dxa"/>
            <w:vAlign w:val="top"/>
          </w:tcPr>
          <w:p w14:paraId="79C4B303">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w:t>
            </w:r>
          </w:p>
        </w:tc>
        <w:tc>
          <w:tcPr>
            <w:tcW w:w="1658" w:type="dxa"/>
            <w:vAlign w:val="top"/>
          </w:tcPr>
          <w:p w14:paraId="3E4B4329">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2</w:t>
            </w:r>
          </w:p>
        </w:tc>
        <w:tc>
          <w:tcPr>
            <w:tcW w:w="1658" w:type="dxa"/>
            <w:vAlign w:val="top"/>
          </w:tcPr>
          <w:p w14:paraId="678A34D2">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3</w:t>
            </w:r>
          </w:p>
        </w:tc>
        <w:tc>
          <w:tcPr>
            <w:tcW w:w="1663" w:type="dxa"/>
            <w:vAlign w:val="top"/>
          </w:tcPr>
          <w:p w14:paraId="6DD45ECD">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1/2</w:t>
            </w:r>
          </w:p>
        </w:tc>
      </w:tr>
      <w:tr w14:paraId="14AE8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63" w:type="dxa"/>
            <w:vAlign w:val="center"/>
          </w:tcPr>
          <w:p w14:paraId="537DCD5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2"/>
                <w:position w:val="1"/>
                <w:sz w:val="24"/>
                <w:szCs w:val="24"/>
              </w:rPr>
              <w:t>P2</w:t>
            </w:r>
          </w:p>
        </w:tc>
        <w:tc>
          <w:tcPr>
            <w:tcW w:w="1658" w:type="dxa"/>
            <w:vAlign w:val="top"/>
          </w:tcPr>
          <w:p w14:paraId="3EC712B7">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1/2</w:t>
            </w:r>
          </w:p>
        </w:tc>
        <w:tc>
          <w:tcPr>
            <w:tcW w:w="1658" w:type="dxa"/>
            <w:vAlign w:val="top"/>
          </w:tcPr>
          <w:p w14:paraId="26798979">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w:t>
            </w:r>
          </w:p>
        </w:tc>
        <w:tc>
          <w:tcPr>
            <w:tcW w:w="1658" w:type="dxa"/>
            <w:vAlign w:val="top"/>
          </w:tcPr>
          <w:p w14:paraId="77128D48">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2</w:t>
            </w:r>
          </w:p>
        </w:tc>
        <w:tc>
          <w:tcPr>
            <w:tcW w:w="1663" w:type="dxa"/>
            <w:vAlign w:val="top"/>
          </w:tcPr>
          <w:p w14:paraId="04258DE6">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1/3</w:t>
            </w:r>
          </w:p>
        </w:tc>
      </w:tr>
      <w:tr w14:paraId="7ADDD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63" w:type="dxa"/>
            <w:vAlign w:val="center"/>
          </w:tcPr>
          <w:p w14:paraId="3559AE8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2"/>
                <w:position w:val="2"/>
                <w:sz w:val="24"/>
                <w:szCs w:val="24"/>
              </w:rPr>
              <w:t>P3</w:t>
            </w:r>
          </w:p>
        </w:tc>
        <w:tc>
          <w:tcPr>
            <w:tcW w:w="1658" w:type="dxa"/>
            <w:vAlign w:val="top"/>
          </w:tcPr>
          <w:p w14:paraId="6733A3C2">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1/3</w:t>
            </w:r>
          </w:p>
        </w:tc>
        <w:tc>
          <w:tcPr>
            <w:tcW w:w="1658" w:type="dxa"/>
            <w:vAlign w:val="top"/>
          </w:tcPr>
          <w:p w14:paraId="793F68D4">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1/2</w:t>
            </w:r>
          </w:p>
        </w:tc>
        <w:tc>
          <w:tcPr>
            <w:tcW w:w="1658" w:type="dxa"/>
            <w:vAlign w:val="top"/>
          </w:tcPr>
          <w:p w14:paraId="50B04846">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w:t>
            </w:r>
          </w:p>
        </w:tc>
        <w:tc>
          <w:tcPr>
            <w:tcW w:w="1663" w:type="dxa"/>
            <w:vAlign w:val="top"/>
          </w:tcPr>
          <w:p w14:paraId="4713630E">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1/4</w:t>
            </w:r>
          </w:p>
        </w:tc>
      </w:tr>
      <w:tr w14:paraId="192E4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663" w:type="dxa"/>
            <w:vAlign w:val="center"/>
          </w:tcPr>
          <w:p w14:paraId="00795D3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Times New Roman" w:cs="Times New Roman"/>
                <w:b/>
                <w:bCs/>
                <w:color w:val="auto"/>
                <w:sz w:val="24"/>
                <w:szCs w:val="24"/>
              </w:rPr>
            </w:pPr>
            <w:r>
              <w:rPr>
                <w:rFonts w:hint="default" w:ascii="Times New Roman" w:hAnsi="Times New Roman" w:eastAsia="Times New Roman" w:cs="Times New Roman"/>
                <w:b/>
                <w:bCs/>
                <w:color w:val="auto"/>
                <w:spacing w:val="2"/>
                <w:position w:val="1"/>
                <w:sz w:val="24"/>
                <w:szCs w:val="24"/>
              </w:rPr>
              <w:t>P4</w:t>
            </w:r>
          </w:p>
        </w:tc>
        <w:tc>
          <w:tcPr>
            <w:tcW w:w="1658" w:type="dxa"/>
            <w:vAlign w:val="top"/>
          </w:tcPr>
          <w:p w14:paraId="45480252">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2</w:t>
            </w:r>
          </w:p>
        </w:tc>
        <w:tc>
          <w:tcPr>
            <w:tcW w:w="1658" w:type="dxa"/>
            <w:vAlign w:val="top"/>
          </w:tcPr>
          <w:p w14:paraId="7D9A5594">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3</w:t>
            </w:r>
          </w:p>
        </w:tc>
        <w:tc>
          <w:tcPr>
            <w:tcW w:w="1658" w:type="dxa"/>
            <w:vAlign w:val="top"/>
          </w:tcPr>
          <w:p w14:paraId="7ADC9F49">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4</w:t>
            </w:r>
          </w:p>
        </w:tc>
        <w:tc>
          <w:tcPr>
            <w:tcW w:w="1663" w:type="dxa"/>
            <w:vAlign w:val="top"/>
          </w:tcPr>
          <w:p w14:paraId="2BBB3A23">
            <w:pPr>
              <w:spacing w:before="120" w:after="120" w:line="288" w:lineRule="auto"/>
              <w:ind w:left="0" w:leftChars="0"/>
              <w:jc w:val="center"/>
              <w:rPr>
                <w:rFonts w:hint="default" w:ascii="Times New Roman" w:hAnsi="Times New Roman" w:eastAsia="Times New Roman" w:cs="Times New Roman"/>
                <w:color w:val="auto"/>
                <w:sz w:val="24"/>
                <w:szCs w:val="24"/>
              </w:rPr>
            </w:pPr>
            <w:r>
              <w:rPr>
                <w:rFonts w:ascii="Arial" w:hAnsi="Arial" w:eastAsia="等线" w:cs="Arial"/>
                <w:color w:val="auto"/>
                <w:sz w:val="22"/>
              </w:rPr>
              <w:t>1</w:t>
            </w:r>
          </w:p>
        </w:tc>
      </w:tr>
    </w:tbl>
    <w:p w14:paraId="516DF487">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lang w:val="en-US" w:eastAsia="zh-CN"/>
        </w:rPr>
      </w:pPr>
      <w:r>
        <w:rPr>
          <w:rFonts w:hint="default" w:ascii="Times New Roman" w:hAnsi="Times New Roman" w:eastAsia="仿宋" w:cs="Times New Roman"/>
          <w:color w:val="auto"/>
          <w:spacing w:val="0"/>
          <w:w w:val="100"/>
          <w:position w:val="0"/>
          <w:sz w:val="28"/>
          <w:szCs w:val="28"/>
          <w:highlight w:val="none"/>
          <w:lang w:val="en-US" w:eastAsia="zh-CN"/>
        </w:rPr>
        <w:t>校验结果：λmax=4.046，CI=0.015，CR=0.017＜0.1，一致性合格</w:t>
      </w:r>
    </w:p>
    <w:p w14:paraId="19591FCC">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lang w:val="en-US" w:eastAsia="zh-CN"/>
        </w:rPr>
      </w:pPr>
      <w:r>
        <w:rPr>
          <w:rFonts w:hint="default" w:ascii="Times New Roman" w:hAnsi="Times New Roman" w:eastAsia="仿宋" w:cs="Times New Roman"/>
          <w:color w:val="auto"/>
          <w:spacing w:val="0"/>
          <w:w w:val="100"/>
          <w:position w:val="0"/>
          <w:sz w:val="28"/>
          <w:szCs w:val="28"/>
          <w:highlight w:val="none"/>
          <w:lang w:val="en-US" w:eastAsia="zh-CN"/>
        </w:rPr>
        <w:t>C2下方案权重：P1=0.278，P2=0.160，P3=0.097，P4=0.465</w:t>
      </w:r>
    </w:p>
    <w:p w14:paraId="6BD9D776">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lang w:val="en-US" w:eastAsia="zh-CN"/>
        </w:rPr>
      </w:pPr>
      <w:r>
        <w:rPr>
          <w:rFonts w:hint="default" w:ascii="Times New Roman" w:hAnsi="Times New Roman" w:eastAsia="仿宋" w:cs="Times New Roman"/>
          <w:color w:val="auto"/>
          <w:spacing w:val="0"/>
          <w:w w:val="100"/>
          <w:position w:val="0"/>
          <w:sz w:val="28"/>
          <w:szCs w:val="28"/>
          <w:highlight w:val="none"/>
          <w:lang w:val="en-US" w:eastAsia="zh-CN"/>
        </w:rPr>
        <w:t>全局权重为各方案因子对目标层水华事件风险（A）的最终影响权重，计算公式：全局权重=准则层权重×对应准则下方案层权重。</w:t>
      </w:r>
    </w:p>
    <w:p w14:paraId="06434F67">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lang w:val="en-US" w:eastAsia="zh-CN"/>
        </w:rPr>
      </w:pPr>
      <w:r>
        <w:rPr>
          <w:rFonts w:hint="default" w:ascii="Times New Roman" w:hAnsi="Times New Roman" w:eastAsia="仿宋" w:cs="Times New Roman"/>
          <w:color w:val="auto"/>
          <w:spacing w:val="0"/>
          <w:w w:val="100"/>
          <w:position w:val="0"/>
          <w:sz w:val="28"/>
          <w:szCs w:val="28"/>
          <w:highlight w:val="none"/>
          <w:lang w:val="en-US" w:eastAsia="zh-CN"/>
        </w:rPr>
        <w:t>1. 水体营养化（P1）：0.333×0.455 + 0.667×0.278 = 0.337</w:t>
      </w:r>
    </w:p>
    <w:p w14:paraId="28967DEC">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lang w:val="en-US" w:eastAsia="zh-CN"/>
        </w:rPr>
      </w:pPr>
      <w:r>
        <w:rPr>
          <w:rFonts w:hint="default" w:ascii="Times New Roman" w:hAnsi="Times New Roman" w:eastAsia="仿宋" w:cs="Times New Roman"/>
          <w:color w:val="auto"/>
          <w:spacing w:val="0"/>
          <w:w w:val="100"/>
          <w:position w:val="0"/>
          <w:sz w:val="28"/>
          <w:szCs w:val="28"/>
          <w:highlight w:val="none"/>
          <w:lang w:val="en-US" w:eastAsia="zh-CN"/>
        </w:rPr>
        <w:t>2. 水动力因素（P2）：0.333×0.139 + 0.667×0.160 = 0.153</w:t>
      </w:r>
    </w:p>
    <w:p w14:paraId="6F0EB45A">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lang w:val="en-US" w:eastAsia="zh-CN"/>
        </w:rPr>
      </w:pPr>
      <w:r>
        <w:rPr>
          <w:rFonts w:hint="default" w:ascii="Times New Roman" w:hAnsi="Times New Roman" w:eastAsia="仿宋" w:cs="Times New Roman"/>
          <w:color w:val="auto"/>
          <w:spacing w:val="0"/>
          <w:w w:val="100"/>
          <w:position w:val="0"/>
          <w:sz w:val="28"/>
          <w:szCs w:val="28"/>
          <w:highlight w:val="none"/>
          <w:lang w:val="en-US" w:eastAsia="zh-CN"/>
        </w:rPr>
        <w:t>3. 光热因素（P3）：0.333×0.139 + 0.667×0.097 = 0.111</w:t>
      </w:r>
    </w:p>
    <w:p w14:paraId="42DDA549">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lang w:val="en-US" w:eastAsia="zh-CN"/>
        </w:rPr>
      </w:pPr>
      <w:r>
        <w:rPr>
          <w:rFonts w:hint="default" w:ascii="Times New Roman" w:hAnsi="Times New Roman" w:eastAsia="仿宋" w:cs="Times New Roman"/>
          <w:color w:val="auto"/>
          <w:spacing w:val="0"/>
          <w:w w:val="100"/>
          <w:position w:val="0"/>
          <w:sz w:val="28"/>
          <w:szCs w:val="28"/>
          <w:highlight w:val="none"/>
          <w:lang w:val="en-US" w:eastAsia="zh-CN"/>
        </w:rPr>
        <w:t>4. 叶绿素α（P4）：0.333×0.267 + 0.667×0.465 = 0.399</w:t>
      </w:r>
    </w:p>
    <w:p w14:paraId="156C0B1A">
      <w:pPr>
        <w:keepNext w:val="0"/>
        <w:keepLines w:val="0"/>
        <w:pageBreakBefore w:val="0"/>
        <w:widowControl/>
        <w:tabs>
          <w:tab w:val="left" w:pos="9282"/>
        </w:tabs>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default" w:ascii="Times New Roman" w:hAnsi="Times New Roman" w:eastAsia="仿宋" w:cs="Times New Roman"/>
          <w:color w:val="auto"/>
          <w:spacing w:val="0"/>
          <w:w w:val="100"/>
          <w:position w:val="0"/>
          <w:sz w:val="28"/>
          <w:szCs w:val="28"/>
          <w:highlight w:val="none"/>
        </w:rPr>
      </w:pPr>
      <w:r>
        <w:rPr>
          <w:rFonts w:hint="default" w:ascii="Times New Roman" w:hAnsi="Times New Roman" w:eastAsia="仿宋" w:cs="Times New Roman"/>
          <w:color w:val="auto"/>
          <w:spacing w:val="0"/>
          <w:w w:val="100"/>
          <w:position w:val="0"/>
          <w:sz w:val="28"/>
          <w:szCs w:val="28"/>
          <w:highlight w:val="none"/>
          <w:lang w:val="en-US" w:eastAsia="zh-CN"/>
        </w:rPr>
        <w:t>综上所述，水库型水源地水华爆发的第一核心因子为叶绿素α（藻类生物量），直接表征水华发生程度；第二核心因子为水体营养化，是水华爆发的物质基础；水动力、光热条件为次要诱发因子，整体权重贴合水库水华形成机理。因此在易发生水华事件的时段内，应加强对叶绿素α的预防性监测。</w:t>
      </w:r>
    </w:p>
    <w:p w14:paraId="73C418E0">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r>
        <w:rPr>
          <w:rFonts w:ascii="仿宋" w:hAnsi="仿宋" w:eastAsia="仿宋" w:cs="仿宋"/>
          <w:b/>
          <w:bCs/>
          <w:color w:val="auto"/>
          <w:spacing w:val="0"/>
          <w:w w:val="100"/>
          <w:position w:val="0"/>
          <w:sz w:val="28"/>
          <w:szCs w:val="28"/>
          <w:highlight w:val="none"/>
        </w:rPr>
        <w:t>4.4.5特殊气象条件引发的次生水污染事件源强及后果分析</w:t>
      </w:r>
      <w:bookmarkEnd w:id="493"/>
      <w:bookmarkEnd w:id="494"/>
    </w:p>
    <w:p w14:paraId="3B55E52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（1）汛期</w:t>
      </w:r>
    </w:p>
    <w:p w14:paraId="6E95720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西山水库集中式饮用水水源地所属寒温带大陆季风气候。汛期大量降水，容易引发洪涝灾害，洪水在涨水和退水期间，冲刷地表土壤以及邻近河道的固体废弃物进入水体，对饮用水水质安全造成严重威胁。</w:t>
      </w:r>
    </w:p>
    <w:p w14:paraId="2525B01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（2）雨雪冰冻</w:t>
      </w:r>
    </w:p>
    <w:p w14:paraId="60F053D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sectPr>
          <w:pgSz w:w="11912" w:h="16841"/>
          <w:pgMar w:top="1440" w:right="1800" w:bottom="1440" w:left="1800" w:header="0" w:footer="1034" w:gutter="0"/>
          <w:pgNumType w:fmt="decimal"/>
          <w:cols w:space="720" w:num="1"/>
        </w:sectPr>
      </w:pPr>
      <w:r>
        <w:rPr>
          <w:rFonts w:ascii="仿宋" w:hAnsi="仿宋" w:eastAsia="仿宋" w:cs="仿宋"/>
          <w:color w:val="auto"/>
          <w:spacing w:val="0"/>
          <w:w w:val="100"/>
          <w:position w:val="0"/>
          <w:sz w:val="28"/>
          <w:szCs w:val="28"/>
          <w:highlight w:val="none"/>
        </w:rPr>
        <w:t>雨雪冰冻期间，目前普遍使用融雪剂用于道路除雪，融雪剂主要成分为工业盐，除雪剂随着融化的冰雪形成的地表径流，</w:t>
      </w:r>
      <w:r>
        <w:rPr>
          <w:rFonts w:hint="eastAsia" w:ascii="仿宋" w:hAnsi="仿宋" w:eastAsia="仿宋" w:cs="仿宋"/>
          <w:color w:val="auto"/>
          <w:spacing w:val="0"/>
          <w:w w:val="100"/>
          <w:position w:val="0"/>
          <w:sz w:val="28"/>
          <w:szCs w:val="28"/>
          <w:highlight w:val="none"/>
          <w:lang w:eastAsia="zh-CN"/>
        </w:rPr>
        <w:t>进入</w:t>
      </w:r>
      <w:r>
        <w:rPr>
          <w:rFonts w:ascii="仿宋" w:hAnsi="仿宋" w:eastAsia="仿宋" w:cs="仿宋"/>
          <w:color w:val="auto"/>
          <w:spacing w:val="0"/>
          <w:w w:val="100"/>
          <w:position w:val="0"/>
          <w:sz w:val="28"/>
          <w:szCs w:val="28"/>
          <w:highlight w:val="none"/>
        </w:rPr>
        <w:t>道路邻近的饮用水源中，造成水源污染。工业盐多含有亚硝酸，人饮用后会出现慢性中毒，大剂量摄入甚至导致人员死亡。</w:t>
      </w:r>
    </w:p>
    <w:p w14:paraId="4DB0FFF1">
      <w:pPr>
        <w:keepNext w:val="0"/>
        <w:keepLines w:val="0"/>
        <w:pageBreakBefore w:val="0"/>
        <w:widowControl/>
        <w:kinsoku/>
        <w:wordWrap/>
        <w:overflowPunct/>
        <w:topLinePunct w:val="0"/>
        <w:autoSpaceDE w:val="0"/>
        <w:autoSpaceDN w:val="0"/>
        <w:bidi w:val="0"/>
        <w:adjustRightInd w:val="0"/>
        <w:snapToGrid w:val="0"/>
        <w:spacing w:before="88" w:line="221" w:lineRule="auto"/>
        <w:ind w:left="3110"/>
        <w:outlineLvl w:val="0"/>
        <w:rPr>
          <w:rFonts w:ascii="仿宋" w:hAnsi="仿宋" w:eastAsia="仿宋" w:cs="仿宋"/>
          <w:color w:val="auto"/>
          <w:spacing w:val="0"/>
          <w:w w:val="100"/>
          <w:position w:val="0"/>
          <w:sz w:val="43"/>
          <w:szCs w:val="43"/>
          <w:highlight w:val="none"/>
        </w:rPr>
      </w:pPr>
      <w:bookmarkStart w:id="495" w:name="bookmark117"/>
      <w:bookmarkEnd w:id="495"/>
      <w:bookmarkStart w:id="496" w:name="bookmark118"/>
      <w:bookmarkEnd w:id="496"/>
      <w:bookmarkStart w:id="497" w:name="_Toc80"/>
      <w:bookmarkStart w:id="498" w:name="_Toc2527"/>
      <w:bookmarkStart w:id="499" w:name="_Toc4443"/>
      <w:bookmarkStart w:id="500" w:name="_Toc17267"/>
      <w:bookmarkStart w:id="501" w:name="_Toc14503"/>
      <w:bookmarkStart w:id="502" w:name="_Toc6130"/>
      <w:r>
        <w:rPr>
          <w:rFonts w:ascii="仿宋" w:hAnsi="仿宋" w:eastAsia="仿宋" w:cs="仿宋"/>
          <w:b/>
          <w:bCs/>
          <w:color w:val="auto"/>
          <w:spacing w:val="0"/>
          <w:w w:val="100"/>
          <w:position w:val="0"/>
          <w:sz w:val="43"/>
          <w:szCs w:val="43"/>
          <w:highlight w:val="none"/>
        </w:rPr>
        <w:t>5环境风险分析</w:t>
      </w:r>
      <w:bookmarkEnd w:id="497"/>
      <w:bookmarkEnd w:id="498"/>
      <w:bookmarkEnd w:id="499"/>
      <w:bookmarkEnd w:id="500"/>
      <w:bookmarkEnd w:id="501"/>
      <w:bookmarkEnd w:id="502"/>
    </w:p>
    <w:p w14:paraId="0CBD5298">
      <w:pPr>
        <w:pStyle w:val="3"/>
        <w:keepNext w:val="0"/>
        <w:keepLines w:val="0"/>
        <w:pageBreakBefore w:val="0"/>
        <w:widowControl/>
        <w:kinsoku/>
        <w:wordWrap/>
        <w:overflowPunct/>
        <w:topLinePunct w:val="0"/>
        <w:autoSpaceDE w:val="0"/>
        <w:autoSpaceDN w:val="0"/>
        <w:bidi w:val="0"/>
        <w:adjustRightInd w:val="0"/>
        <w:snapToGrid w:val="0"/>
        <w:spacing w:line="457" w:lineRule="auto"/>
        <w:rPr>
          <w:color w:val="auto"/>
          <w:spacing w:val="0"/>
          <w:w w:val="100"/>
          <w:position w:val="0"/>
          <w:highlight w:val="none"/>
        </w:rPr>
      </w:pPr>
    </w:p>
    <w:p w14:paraId="4B71C55E">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03" w:name="_Toc15405"/>
      <w:bookmarkStart w:id="504" w:name="_Toc25693"/>
      <w:bookmarkStart w:id="505" w:name="_Toc549"/>
      <w:bookmarkStart w:id="506" w:name="_Toc31103"/>
      <w:bookmarkStart w:id="507" w:name="_Toc5863"/>
      <w:bookmarkStart w:id="508" w:name="_Toc1357"/>
      <w:r>
        <w:rPr>
          <w:rFonts w:ascii="仿宋" w:hAnsi="仿宋" w:eastAsia="仿宋" w:cs="仿宋"/>
          <w:b/>
          <w:bCs/>
          <w:color w:val="auto"/>
          <w:spacing w:val="0"/>
          <w:w w:val="100"/>
          <w:position w:val="0"/>
          <w:sz w:val="31"/>
          <w:szCs w:val="31"/>
          <w:highlight w:val="none"/>
        </w:rPr>
        <w:t>5.1环境风险源辨识</w:t>
      </w:r>
      <w:bookmarkEnd w:id="503"/>
      <w:bookmarkEnd w:id="504"/>
      <w:bookmarkEnd w:id="505"/>
      <w:bookmarkEnd w:id="506"/>
      <w:bookmarkEnd w:id="507"/>
      <w:bookmarkEnd w:id="508"/>
    </w:p>
    <w:p w14:paraId="1436819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集中式地表水饮用水水源地突发环境事件应急预案编制指南（试行）》规定：环境风险是指由生产、储存、流通、销售、使用、处置等过程中，通过环境介质传播的能对水源地的水质和生态环境产生破坏、损失乃至毁灭性作用等不利后果的因果条件。</w:t>
      </w:r>
    </w:p>
    <w:p w14:paraId="679D4F0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集中式地表饮用水水源地的环境风险源可分为：固定源、流动源、非点源，水华。固定源是指排放有毒有害物质造成或可能造成水源水质恶化的一切工矿企业事业单位以及运输石化、化工产品的管线；流动源是指运输危险化学品、危险废物及其他影响饮用水安全物质的车辆、船舶等交通工具；非点源是指有可能对水源地水质造成影响的没有固定污染排放点的畜禽水产养殖污水、农业灌溉尾水等；水华是由蓝藻、绿藻、硅藻等藻类引起的水体富营养化。</w:t>
      </w:r>
    </w:p>
    <w:p w14:paraId="722339D7">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09" w:name="bookmark119"/>
      <w:bookmarkEnd w:id="509"/>
      <w:bookmarkStart w:id="510" w:name="_Toc26803"/>
      <w:bookmarkStart w:id="511" w:name="_Toc26156"/>
      <w:bookmarkStart w:id="512" w:name="_Toc14268"/>
      <w:bookmarkStart w:id="513" w:name="_Toc28784"/>
      <w:bookmarkStart w:id="514" w:name="_Toc14904"/>
      <w:bookmarkStart w:id="515" w:name="_Toc30308"/>
      <w:r>
        <w:rPr>
          <w:rFonts w:ascii="仿宋" w:hAnsi="仿宋" w:eastAsia="仿宋" w:cs="仿宋"/>
          <w:b/>
          <w:bCs/>
          <w:color w:val="auto"/>
          <w:spacing w:val="0"/>
          <w:w w:val="100"/>
          <w:position w:val="0"/>
          <w:sz w:val="31"/>
          <w:szCs w:val="31"/>
          <w:highlight w:val="none"/>
        </w:rPr>
        <w:t>5.2环境风险源项分析</w:t>
      </w:r>
      <w:bookmarkEnd w:id="510"/>
      <w:bookmarkEnd w:id="511"/>
      <w:bookmarkEnd w:id="512"/>
      <w:bookmarkEnd w:id="513"/>
      <w:bookmarkEnd w:id="514"/>
      <w:bookmarkEnd w:id="515"/>
    </w:p>
    <w:p w14:paraId="658FB56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项目所在地实际现状，结合乌翠区城市发展规划等要求，目前周边区域土地开发建设的相关情况，在现有西山水库水源保护区范围内，不涉及重大环境风险源。本次风险评估提出在饮用水水源保护区范围内，必须按照《</w:t>
      </w:r>
      <w:r>
        <w:rPr>
          <w:rFonts w:hint="eastAsia" w:ascii="仿宋" w:hAnsi="仿宋" w:eastAsia="仿宋" w:cs="仿宋"/>
          <w:color w:val="auto"/>
          <w:spacing w:val="0"/>
          <w:w w:val="100"/>
          <w:position w:val="0"/>
          <w:sz w:val="28"/>
          <w:szCs w:val="28"/>
          <w:highlight w:val="none"/>
          <w:lang w:eastAsia="zh-CN"/>
        </w:rPr>
        <w:t>中华人民共和国水污染防治法</w:t>
      </w:r>
      <w:r>
        <w:rPr>
          <w:rFonts w:ascii="仿宋" w:hAnsi="仿宋" w:eastAsia="仿宋" w:cs="仿宋"/>
          <w:color w:val="auto"/>
          <w:spacing w:val="0"/>
          <w:w w:val="100"/>
          <w:position w:val="0"/>
          <w:sz w:val="28"/>
          <w:szCs w:val="28"/>
          <w:highlight w:val="none"/>
        </w:rPr>
        <w:t>》等相关法律法规的要求，严格落实各项建设项目的开发，不得污染饮用水源，且对于项目所在地周边，尤其是紧邻区域，建设项目的开发和建设必须符合饮用水水源的各项规划要求。</w:t>
      </w:r>
    </w:p>
    <w:p w14:paraId="642E2F5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参照《集中式饮用水水源环境保护指南（试行）》，分析潜在事件，筛选风险源，依据其在线量或贮量，定性分析突发性水污染事件及分值。</w:t>
      </w:r>
    </w:p>
    <w:p w14:paraId="3A48F4BF">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516" w:name="_Toc20367"/>
      <w:bookmarkStart w:id="517" w:name="_Toc31019"/>
      <w:r>
        <w:rPr>
          <w:rFonts w:ascii="仿宋" w:hAnsi="仿宋" w:eastAsia="仿宋" w:cs="仿宋"/>
          <w:b/>
          <w:bCs/>
          <w:color w:val="auto"/>
          <w:spacing w:val="0"/>
          <w:w w:val="100"/>
          <w:position w:val="0"/>
          <w:sz w:val="28"/>
          <w:szCs w:val="28"/>
          <w:highlight w:val="none"/>
        </w:rPr>
        <w:t>5.2.1固定风险源辨识</w:t>
      </w:r>
      <w:bookmarkEnd w:id="516"/>
      <w:bookmarkEnd w:id="517"/>
    </w:p>
    <w:p w14:paraId="32F800E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在西山水库水源饮用水源保护区</w:t>
      </w:r>
      <w:r>
        <w:rPr>
          <w:rFonts w:hint="eastAsia" w:ascii="仿宋" w:hAnsi="仿宋" w:eastAsia="仿宋" w:cs="仿宋"/>
          <w:color w:val="auto"/>
          <w:spacing w:val="0"/>
          <w:w w:val="100"/>
          <w:position w:val="0"/>
          <w:sz w:val="28"/>
          <w:szCs w:val="28"/>
          <w:highlight w:val="none"/>
          <w:lang w:val="en-US" w:eastAsia="zh-CN"/>
        </w:rPr>
        <w:t>内无</w:t>
      </w:r>
      <w:r>
        <w:rPr>
          <w:rFonts w:hint="eastAsia" w:ascii="仿宋" w:hAnsi="仿宋" w:eastAsia="仿宋" w:cs="仿宋"/>
          <w:color w:val="auto"/>
          <w:spacing w:val="0"/>
          <w:w w:val="100"/>
          <w:position w:val="0"/>
          <w:sz w:val="28"/>
          <w:szCs w:val="28"/>
          <w:highlight w:val="none"/>
        </w:rPr>
        <w:t>包括石油化工企业、污（废）水处理厂、垃圾填埋场、危险品仓库、尾矿库和装卸码头等</w:t>
      </w:r>
      <w:r>
        <w:rPr>
          <w:rFonts w:ascii="仿宋" w:hAnsi="仿宋" w:eastAsia="仿宋" w:cs="仿宋"/>
          <w:color w:val="auto"/>
          <w:spacing w:val="0"/>
          <w:w w:val="100"/>
          <w:position w:val="0"/>
          <w:sz w:val="28"/>
          <w:szCs w:val="28"/>
          <w:highlight w:val="none"/>
        </w:rPr>
        <w:t>。</w:t>
      </w:r>
    </w:p>
    <w:p w14:paraId="2B299CA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参照《集中式饮用水水源环境保护指南（试行）》，分析潜在事件，筛选风险源。关于西山水库水源饮用水源保护区固定源评价指标及评分值见表5-1。</w:t>
      </w:r>
    </w:p>
    <w:p w14:paraId="6DFF2AE6">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表5-1固定源评价指标及评分值（R</w:t>
      </w:r>
      <w:r>
        <w:rPr>
          <w:rFonts w:ascii="仿宋" w:hAnsi="仿宋" w:eastAsia="仿宋" w:cs="仿宋"/>
          <w:b/>
          <w:bCs/>
          <w:color w:val="auto"/>
          <w:spacing w:val="0"/>
          <w:w w:val="100"/>
          <w:position w:val="0"/>
          <w:sz w:val="12"/>
          <w:szCs w:val="12"/>
          <w:highlight w:val="none"/>
        </w:rPr>
        <w:t>P</w:t>
      </w:r>
      <w:r>
        <w:rPr>
          <w:rFonts w:ascii="仿宋" w:hAnsi="仿宋" w:eastAsia="仿宋" w:cs="仿宋"/>
          <w:b/>
          <w:bCs/>
          <w:color w:val="auto"/>
          <w:spacing w:val="0"/>
          <w:w w:val="100"/>
          <w:position w:val="0"/>
          <w:sz w:val="24"/>
          <w:szCs w:val="24"/>
          <w:highlight w:val="none"/>
        </w:rPr>
        <w:t>）</w:t>
      </w:r>
    </w:p>
    <w:tbl>
      <w:tblPr>
        <w:tblStyle w:val="13"/>
        <w:tblW w:w="502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76"/>
        <w:gridCol w:w="934"/>
        <w:gridCol w:w="1077"/>
        <w:gridCol w:w="802"/>
        <w:gridCol w:w="754"/>
        <w:gridCol w:w="839"/>
        <w:gridCol w:w="1107"/>
        <w:gridCol w:w="655"/>
        <w:gridCol w:w="711"/>
      </w:tblGrid>
      <w:tr w14:paraId="13EA6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83" w:type="pct"/>
            <w:vMerge w:val="restart"/>
            <w:tcBorders>
              <w:bottom w:val="nil"/>
            </w:tcBorders>
            <w:vAlign w:val="center"/>
          </w:tcPr>
          <w:p w14:paraId="16C2278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风险源</w:t>
            </w:r>
          </w:p>
        </w:tc>
        <w:tc>
          <w:tcPr>
            <w:tcW w:w="2134" w:type="pct"/>
            <w:gridSpan w:val="4"/>
            <w:vAlign w:val="center"/>
          </w:tcPr>
          <w:p w14:paraId="25D048F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一级保护区</w:t>
            </w:r>
          </w:p>
        </w:tc>
        <w:tc>
          <w:tcPr>
            <w:tcW w:w="1981" w:type="pct"/>
            <w:gridSpan w:val="4"/>
            <w:vAlign w:val="center"/>
          </w:tcPr>
          <w:p w14:paraId="5E29710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二级保护区</w:t>
            </w:r>
          </w:p>
        </w:tc>
      </w:tr>
      <w:tr w14:paraId="771FD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883" w:type="pct"/>
            <w:vMerge w:val="continue"/>
            <w:tcBorders>
              <w:top w:val="nil"/>
            </w:tcBorders>
            <w:vAlign w:val="center"/>
          </w:tcPr>
          <w:p w14:paraId="4DF573B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Align w:val="center"/>
          </w:tcPr>
          <w:p w14:paraId="49A8372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指标值</w:t>
            </w:r>
          </w:p>
        </w:tc>
        <w:tc>
          <w:tcPr>
            <w:tcW w:w="644" w:type="pct"/>
            <w:vAlign w:val="center"/>
          </w:tcPr>
          <w:p w14:paraId="1B7864B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评分值（</w:t>
            </w:r>
            <w:r>
              <w:rPr>
                <w:rFonts w:ascii="仿宋" w:hAnsi="仿宋" w:eastAsia="仿宋" w:cs="仿宋"/>
                <w:b/>
                <w:bCs/>
                <w:i/>
                <w:iCs/>
                <w:color w:val="auto"/>
                <w:spacing w:val="0"/>
                <w:w w:val="100"/>
                <w:position w:val="0"/>
                <w:sz w:val="22"/>
                <w:szCs w:val="22"/>
                <w:highlight w:val="none"/>
              </w:rPr>
              <w:t>P</w:t>
            </w:r>
            <w:r>
              <w:rPr>
                <w:rFonts w:ascii="仿宋" w:hAnsi="仿宋" w:eastAsia="仿宋" w:cs="仿宋"/>
                <w:b/>
                <w:bCs/>
                <w:i/>
                <w:iCs/>
                <w:color w:val="auto"/>
                <w:spacing w:val="0"/>
                <w:w w:val="100"/>
                <w:position w:val="0"/>
                <w:sz w:val="11"/>
                <w:szCs w:val="11"/>
                <w:highlight w:val="none"/>
              </w:rPr>
              <w:t>1</w:t>
            </w:r>
            <w:r>
              <w:rPr>
                <w:rFonts w:ascii="仿宋" w:hAnsi="仿宋" w:eastAsia="仿宋" w:cs="仿宋"/>
                <w:b/>
                <w:bCs/>
                <w:color w:val="auto"/>
                <w:spacing w:val="0"/>
                <w:w w:val="100"/>
                <w:position w:val="0"/>
                <w:sz w:val="21"/>
                <w:szCs w:val="21"/>
                <w:highlight w:val="none"/>
              </w:rPr>
              <w:t>）</w:t>
            </w:r>
          </w:p>
        </w:tc>
        <w:tc>
          <w:tcPr>
            <w:tcW w:w="480" w:type="pct"/>
            <w:vAlign w:val="center"/>
          </w:tcPr>
          <w:p w14:paraId="77056DD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现状</w:t>
            </w:r>
          </w:p>
        </w:tc>
        <w:tc>
          <w:tcPr>
            <w:tcW w:w="450" w:type="pct"/>
            <w:vAlign w:val="center"/>
          </w:tcPr>
          <w:p w14:paraId="3A21CDC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得分</w:t>
            </w:r>
          </w:p>
        </w:tc>
        <w:tc>
          <w:tcPr>
            <w:tcW w:w="502" w:type="pct"/>
            <w:vAlign w:val="center"/>
          </w:tcPr>
          <w:p w14:paraId="5BB2551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指标值</w:t>
            </w:r>
          </w:p>
        </w:tc>
        <w:tc>
          <w:tcPr>
            <w:tcW w:w="662" w:type="pct"/>
            <w:vAlign w:val="center"/>
          </w:tcPr>
          <w:p w14:paraId="578110C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评分值（</w:t>
            </w:r>
            <w:r>
              <w:rPr>
                <w:rFonts w:ascii="仿宋" w:hAnsi="仿宋" w:eastAsia="仿宋" w:cs="仿宋"/>
                <w:b/>
                <w:bCs/>
                <w:i/>
                <w:iCs/>
                <w:color w:val="auto"/>
                <w:spacing w:val="0"/>
                <w:w w:val="100"/>
                <w:position w:val="0"/>
                <w:sz w:val="22"/>
                <w:szCs w:val="22"/>
                <w:highlight w:val="none"/>
              </w:rPr>
              <w:t>P</w:t>
            </w:r>
            <w:r>
              <w:rPr>
                <w:rFonts w:ascii="仿宋" w:hAnsi="仿宋" w:eastAsia="仿宋" w:cs="仿宋"/>
                <w:b/>
                <w:bCs/>
                <w:i/>
                <w:iCs/>
                <w:color w:val="auto"/>
                <w:spacing w:val="0"/>
                <w:w w:val="100"/>
                <w:position w:val="0"/>
                <w:sz w:val="11"/>
                <w:szCs w:val="11"/>
                <w:highlight w:val="none"/>
              </w:rPr>
              <w:t>1</w:t>
            </w:r>
            <w:r>
              <w:rPr>
                <w:rFonts w:ascii="仿宋" w:hAnsi="仿宋" w:eastAsia="仿宋" w:cs="仿宋"/>
                <w:b/>
                <w:bCs/>
                <w:color w:val="auto"/>
                <w:spacing w:val="0"/>
                <w:w w:val="100"/>
                <w:position w:val="0"/>
                <w:sz w:val="21"/>
                <w:szCs w:val="21"/>
                <w:highlight w:val="none"/>
              </w:rPr>
              <w:t>）</w:t>
            </w:r>
          </w:p>
        </w:tc>
        <w:tc>
          <w:tcPr>
            <w:tcW w:w="392" w:type="pct"/>
            <w:vAlign w:val="center"/>
          </w:tcPr>
          <w:p w14:paraId="669945D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现状</w:t>
            </w:r>
          </w:p>
        </w:tc>
        <w:tc>
          <w:tcPr>
            <w:tcW w:w="423" w:type="pct"/>
            <w:vAlign w:val="center"/>
          </w:tcPr>
          <w:p w14:paraId="5CD2715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b/>
                <w:bCs/>
                <w:color w:val="auto"/>
                <w:spacing w:val="0"/>
                <w:w w:val="100"/>
                <w:position w:val="0"/>
                <w:sz w:val="21"/>
                <w:szCs w:val="21"/>
                <w:highlight w:val="none"/>
              </w:rPr>
              <w:t>得分</w:t>
            </w:r>
          </w:p>
        </w:tc>
      </w:tr>
      <w:tr w14:paraId="577C4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restart"/>
            <w:tcBorders>
              <w:bottom w:val="nil"/>
            </w:tcBorders>
            <w:vAlign w:val="center"/>
          </w:tcPr>
          <w:p w14:paraId="7136175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石油化工行业（个）</w:t>
            </w:r>
          </w:p>
        </w:tc>
        <w:tc>
          <w:tcPr>
            <w:tcW w:w="559" w:type="pct"/>
            <w:vMerge w:val="restart"/>
            <w:tcBorders>
              <w:bottom w:val="nil"/>
            </w:tcBorders>
            <w:vAlign w:val="center"/>
          </w:tcPr>
          <w:p w14:paraId="2865C20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44" w:type="pct"/>
            <w:vMerge w:val="restart"/>
            <w:tcBorders>
              <w:bottom w:val="nil"/>
            </w:tcBorders>
            <w:vAlign w:val="center"/>
          </w:tcPr>
          <w:p w14:paraId="7AE4100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480" w:type="pct"/>
            <w:vMerge w:val="restart"/>
            <w:tcBorders>
              <w:bottom w:val="nil"/>
            </w:tcBorders>
            <w:vAlign w:val="center"/>
          </w:tcPr>
          <w:p w14:paraId="207286F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50" w:type="pct"/>
            <w:vMerge w:val="restart"/>
            <w:tcBorders>
              <w:bottom w:val="nil"/>
            </w:tcBorders>
            <w:vAlign w:val="center"/>
          </w:tcPr>
          <w:p w14:paraId="39BF5F4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502" w:type="pct"/>
            <w:vAlign w:val="center"/>
          </w:tcPr>
          <w:p w14:paraId="4914DEC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62" w:type="pct"/>
            <w:vAlign w:val="center"/>
          </w:tcPr>
          <w:p w14:paraId="611E643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392" w:type="pct"/>
            <w:vMerge w:val="restart"/>
            <w:tcBorders>
              <w:bottom w:val="nil"/>
            </w:tcBorders>
            <w:vAlign w:val="center"/>
          </w:tcPr>
          <w:p w14:paraId="683D231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23" w:type="pct"/>
            <w:vMerge w:val="restart"/>
            <w:tcBorders>
              <w:bottom w:val="nil"/>
            </w:tcBorders>
            <w:vAlign w:val="center"/>
          </w:tcPr>
          <w:p w14:paraId="1557F21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r>
      <w:tr w14:paraId="6E0AD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bottom w:val="nil"/>
            </w:tcBorders>
            <w:vAlign w:val="center"/>
          </w:tcPr>
          <w:p w14:paraId="1CAA19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2F8D35E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76EEBAD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bottom w:val="nil"/>
            </w:tcBorders>
            <w:vAlign w:val="center"/>
          </w:tcPr>
          <w:p w14:paraId="14A4D8F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2AC8876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39E76BB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w:t>
            </w:r>
          </w:p>
        </w:tc>
        <w:tc>
          <w:tcPr>
            <w:tcW w:w="662" w:type="pct"/>
            <w:vAlign w:val="center"/>
          </w:tcPr>
          <w:p w14:paraId="0FE9918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5</w:t>
            </w:r>
          </w:p>
        </w:tc>
        <w:tc>
          <w:tcPr>
            <w:tcW w:w="392" w:type="pct"/>
            <w:vMerge w:val="continue"/>
            <w:tcBorders>
              <w:top w:val="nil"/>
              <w:bottom w:val="nil"/>
            </w:tcBorders>
            <w:vAlign w:val="center"/>
          </w:tcPr>
          <w:p w14:paraId="27F4CBD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1D79463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7A785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883" w:type="pct"/>
            <w:vMerge w:val="continue"/>
            <w:tcBorders>
              <w:top w:val="nil"/>
              <w:bottom w:val="nil"/>
            </w:tcBorders>
            <w:vAlign w:val="center"/>
          </w:tcPr>
          <w:p w14:paraId="4A81EF2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restart"/>
            <w:tcBorders>
              <w:bottom w:val="nil"/>
            </w:tcBorders>
            <w:vAlign w:val="center"/>
          </w:tcPr>
          <w:p w14:paraId="06AE709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存在</w:t>
            </w:r>
          </w:p>
        </w:tc>
        <w:tc>
          <w:tcPr>
            <w:tcW w:w="644" w:type="pct"/>
            <w:vMerge w:val="restart"/>
            <w:tcBorders>
              <w:bottom w:val="nil"/>
            </w:tcBorders>
            <w:vAlign w:val="center"/>
          </w:tcPr>
          <w:p w14:paraId="0B9A787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480" w:type="pct"/>
            <w:vMerge w:val="continue"/>
            <w:tcBorders>
              <w:top w:val="nil"/>
              <w:bottom w:val="nil"/>
            </w:tcBorders>
            <w:vAlign w:val="center"/>
          </w:tcPr>
          <w:p w14:paraId="4E5A60A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4BE7894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53F1206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2-4</w:t>
            </w:r>
          </w:p>
        </w:tc>
        <w:tc>
          <w:tcPr>
            <w:tcW w:w="662" w:type="pct"/>
            <w:vAlign w:val="center"/>
          </w:tcPr>
          <w:p w14:paraId="6064902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7</w:t>
            </w:r>
          </w:p>
        </w:tc>
        <w:tc>
          <w:tcPr>
            <w:tcW w:w="392" w:type="pct"/>
            <w:vMerge w:val="continue"/>
            <w:tcBorders>
              <w:top w:val="nil"/>
              <w:bottom w:val="nil"/>
            </w:tcBorders>
            <w:vAlign w:val="center"/>
          </w:tcPr>
          <w:p w14:paraId="43D24F5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62F338A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24D6E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tcBorders>
            <w:vAlign w:val="center"/>
          </w:tcPr>
          <w:p w14:paraId="4B9AAF6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1CDAF60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389D476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tcBorders>
            <w:vAlign w:val="center"/>
          </w:tcPr>
          <w:p w14:paraId="4F64236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tcBorders>
            <w:vAlign w:val="center"/>
          </w:tcPr>
          <w:p w14:paraId="74BEE0F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465D33E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&gt;4</w:t>
            </w:r>
          </w:p>
        </w:tc>
        <w:tc>
          <w:tcPr>
            <w:tcW w:w="662" w:type="pct"/>
            <w:vAlign w:val="center"/>
          </w:tcPr>
          <w:p w14:paraId="631A17E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392" w:type="pct"/>
            <w:vMerge w:val="continue"/>
            <w:tcBorders>
              <w:top w:val="nil"/>
            </w:tcBorders>
            <w:vAlign w:val="center"/>
          </w:tcPr>
          <w:p w14:paraId="0373D49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tcBorders>
            <w:vAlign w:val="center"/>
          </w:tcPr>
          <w:p w14:paraId="11611F1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04C50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restart"/>
            <w:tcBorders>
              <w:bottom w:val="nil"/>
            </w:tcBorders>
            <w:vAlign w:val="center"/>
          </w:tcPr>
          <w:p w14:paraId="33B3A91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垃圾填埋场（处）</w:t>
            </w:r>
          </w:p>
        </w:tc>
        <w:tc>
          <w:tcPr>
            <w:tcW w:w="559" w:type="pct"/>
            <w:vMerge w:val="restart"/>
            <w:tcBorders>
              <w:bottom w:val="nil"/>
            </w:tcBorders>
            <w:vAlign w:val="center"/>
          </w:tcPr>
          <w:p w14:paraId="158B768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44" w:type="pct"/>
            <w:vMerge w:val="restart"/>
            <w:tcBorders>
              <w:bottom w:val="nil"/>
            </w:tcBorders>
            <w:vAlign w:val="center"/>
          </w:tcPr>
          <w:p w14:paraId="5AA5840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480" w:type="pct"/>
            <w:vMerge w:val="restart"/>
            <w:tcBorders>
              <w:bottom w:val="nil"/>
            </w:tcBorders>
            <w:vAlign w:val="center"/>
          </w:tcPr>
          <w:p w14:paraId="21249F9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50" w:type="pct"/>
            <w:vMerge w:val="restart"/>
            <w:tcBorders>
              <w:bottom w:val="nil"/>
            </w:tcBorders>
            <w:vAlign w:val="center"/>
          </w:tcPr>
          <w:p w14:paraId="7CC6F92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502" w:type="pct"/>
            <w:vAlign w:val="center"/>
          </w:tcPr>
          <w:p w14:paraId="6F300AD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62" w:type="pct"/>
            <w:vAlign w:val="center"/>
          </w:tcPr>
          <w:p w14:paraId="1FA0677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392" w:type="pct"/>
            <w:vMerge w:val="restart"/>
            <w:tcBorders>
              <w:bottom w:val="nil"/>
            </w:tcBorders>
            <w:vAlign w:val="center"/>
          </w:tcPr>
          <w:p w14:paraId="64DB7FF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23" w:type="pct"/>
            <w:vMerge w:val="restart"/>
            <w:tcBorders>
              <w:bottom w:val="nil"/>
            </w:tcBorders>
            <w:vAlign w:val="center"/>
          </w:tcPr>
          <w:p w14:paraId="66EF5F7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r>
      <w:tr w14:paraId="30CFD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continue"/>
            <w:tcBorders>
              <w:top w:val="nil"/>
              <w:bottom w:val="nil"/>
            </w:tcBorders>
            <w:vAlign w:val="center"/>
          </w:tcPr>
          <w:p w14:paraId="5424CAE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3BEABF6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1EBBF9F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bottom w:val="nil"/>
            </w:tcBorders>
            <w:vAlign w:val="center"/>
          </w:tcPr>
          <w:p w14:paraId="0A4BF62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3402D34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733EB5A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w:t>
            </w:r>
          </w:p>
        </w:tc>
        <w:tc>
          <w:tcPr>
            <w:tcW w:w="662" w:type="pct"/>
            <w:vAlign w:val="center"/>
          </w:tcPr>
          <w:p w14:paraId="4D1C725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6</w:t>
            </w:r>
          </w:p>
        </w:tc>
        <w:tc>
          <w:tcPr>
            <w:tcW w:w="392" w:type="pct"/>
            <w:vMerge w:val="continue"/>
            <w:tcBorders>
              <w:top w:val="nil"/>
              <w:bottom w:val="nil"/>
            </w:tcBorders>
            <w:vAlign w:val="center"/>
          </w:tcPr>
          <w:p w14:paraId="52DFD73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3012BEE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7610B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bottom w:val="nil"/>
            </w:tcBorders>
            <w:vAlign w:val="center"/>
          </w:tcPr>
          <w:p w14:paraId="0406C9D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restart"/>
            <w:tcBorders>
              <w:bottom w:val="nil"/>
            </w:tcBorders>
            <w:vAlign w:val="center"/>
          </w:tcPr>
          <w:p w14:paraId="7886DF7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存在</w:t>
            </w:r>
          </w:p>
        </w:tc>
        <w:tc>
          <w:tcPr>
            <w:tcW w:w="644" w:type="pct"/>
            <w:vMerge w:val="restart"/>
            <w:tcBorders>
              <w:bottom w:val="nil"/>
            </w:tcBorders>
            <w:vAlign w:val="center"/>
          </w:tcPr>
          <w:p w14:paraId="7D1FF44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480" w:type="pct"/>
            <w:vMerge w:val="continue"/>
            <w:tcBorders>
              <w:top w:val="nil"/>
              <w:bottom w:val="nil"/>
            </w:tcBorders>
            <w:vAlign w:val="center"/>
          </w:tcPr>
          <w:p w14:paraId="7C65A05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008919F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2C0BCA0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2</w:t>
            </w:r>
          </w:p>
        </w:tc>
        <w:tc>
          <w:tcPr>
            <w:tcW w:w="662" w:type="pct"/>
            <w:vAlign w:val="center"/>
          </w:tcPr>
          <w:p w14:paraId="0256D16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8</w:t>
            </w:r>
          </w:p>
        </w:tc>
        <w:tc>
          <w:tcPr>
            <w:tcW w:w="392" w:type="pct"/>
            <w:vMerge w:val="continue"/>
            <w:tcBorders>
              <w:top w:val="nil"/>
              <w:bottom w:val="nil"/>
            </w:tcBorders>
            <w:vAlign w:val="center"/>
          </w:tcPr>
          <w:p w14:paraId="20A0DA7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31DE036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4E78E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tcBorders>
            <w:vAlign w:val="center"/>
          </w:tcPr>
          <w:p w14:paraId="260C88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160E4B0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33F60D6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tcBorders>
            <w:vAlign w:val="center"/>
          </w:tcPr>
          <w:p w14:paraId="77ABA74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tcBorders>
            <w:vAlign w:val="center"/>
          </w:tcPr>
          <w:p w14:paraId="7BB5C5B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0EC5F61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&gt;2</w:t>
            </w:r>
          </w:p>
        </w:tc>
        <w:tc>
          <w:tcPr>
            <w:tcW w:w="662" w:type="pct"/>
            <w:vAlign w:val="center"/>
          </w:tcPr>
          <w:p w14:paraId="5454634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392" w:type="pct"/>
            <w:vMerge w:val="continue"/>
            <w:tcBorders>
              <w:top w:val="nil"/>
            </w:tcBorders>
            <w:vAlign w:val="center"/>
          </w:tcPr>
          <w:p w14:paraId="01D343A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tcBorders>
            <w:vAlign w:val="center"/>
          </w:tcPr>
          <w:p w14:paraId="033B504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5A159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883" w:type="pct"/>
            <w:vMerge w:val="restart"/>
            <w:tcBorders>
              <w:bottom w:val="nil"/>
            </w:tcBorders>
            <w:vAlign w:val="center"/>
          </w:tcPr>
          <w:p w14:paraId="188EEE4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危险废弃物填埋场（处）</w:t>
            </w:r>
          </w:p>
        </w:tc>
        <w:tc>
          <w:tcPr>
            <w:tcW w:w="559" w:type="pct"/>
            <w:vAlign w:val="center"/>
          </w:tcPr>
          <w:p w14:paraId="354EF4E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44" w:type="pct"/>
            <w:vAlign w:val="center"/>
          </w:tcPr>
          <w:p w14:paraId="30D87CB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480" w:type="pct"/>
            <w:vMerge w:val="restart"/>
            <w:tcBorders>
              <w:bottom w:val="nil"/>
            </w:tcBorders>
            <w:vAlign w:val="center"/>
          </w:tcPr>
          <w:p w14:paraId="5074A86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50" w:type="pct"/>
            <w:vMerge w:val="restart"/>
            <w:tcBorders>
              <w:bottom w:val="nil"/>
            </w:tcBorders>
            <w:vAlign w:val="center"/>
          </w:tcPr>
          <w:p w14:paraId="5266719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502" w:type="pct"/>
            <w:vAlign w:val="center"/>
          </w:tcPr>
          <w:p w14:paraId="1329684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62" w:type="pct"/>
            <w:vAlign w:val="center"/>
          </w:tcPr>
          <w:p w14:paraId="19F5235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392" w:type="pct"/>
            <w:vMerge w:val="restart"/>
            <w:tcBorders>
              <w:bottom w:val="nil"/>
            </w:tcBorders>
            <w:vAlign w:val="center"/>
          </w:tcPr>
          <w:p w14:paraId="10FA588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23" w:type="pct"/>
            <w:vMerge w:val="restart"/>
            <w:tcBorders>
              <w:bottom w:val="nil"/>
            </w:tcBorders>
            <w:vAlign w:val="center"/>
          </w:tcPr>
          <w:p w14:paraId="57846EA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r>
      <w:tr w14:paraId="79A18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continue"/>
            <w:tcBorders>
              <w:top w:val="nil"/>
              <w:bottom w:val="nil"/>
            </w:tcBorders>
            <w:vAlign w:val="center"/>
          </w:tcPr>
          <w:p w14:paraId="1949B61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restart"/>
            <w:tcBorders>
              <w:bottom w:val="nil"/>
            </w:tcBorders>
            <w:vAlign w:val="center"/>
          </w:tcPr>
          <w:p w14:paraId="7289E28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存在</w:t>
            </w:r>
          </w:p>
        </w:tc>
        <w:tc>
          <w:tcPr>
            <w:tcW w:w="644" w:type="pct"/>
            <w:vMerge w:val="restart"/>
            <w:tcBorders>
              <w:bottom w:val="nil"/>
            </w:tcBorders>
            <w:vAlign w:val="center"/>
          </w:tcPr>
          <w:p w14:paraId="18CE00B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480" w:type="pct"/>
            <w:vMerge w:val="continue"/>
            <w:tcBorders>
              <w:top w:val="nil"/>
              <w:bottom w:val="nil"/>
            </w:tcBorders>
            <w:vAlign w:val="center"/>
          </w:tcPr>
          <w:p w14:paraId="46D0883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7A65289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46B69FE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w:t>
            </w:r>
          </w:p>
        </w:tc>
        <w:tc>
          <w:tcPr>
            <w:tcW w:w="662" w:type="pct"/>
            <w:vAlign w:val="center"/>
          </w:tcPr>
          <w:p w14:paraId="3DC39E0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8</w:t>
            </w:r>
          </w:p>
        </w:tc>
        <w:tc>
          <w:tcPr>
            <w:tcW w:w="392" w:type="pct"/>
            <w:vMerge w:val="continue"/>
            <w:tcBorders>
              <w:top w:val="nil"/>
              <w:bottom w:val="nil"/>
            </w:tcBorders>
            <w:vAlign w:val="center"/>
          </w:tcPr>
          <w:p w14:paraId="46C85B4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2ECB6AE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24667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tcBorders>
            <w:vAlign w:val="center"/>
          </w:tcPr>
          <w:p w14:paraId="5BD21C5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5283FC6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56884E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tcBorders>
            <w:vAlign w:val="center"/>
          </w:tcPr>
          <w:p w14:paraId="2EF2262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tcBorders>
            <w:vAlign w:val="center"/>
          </w:tcPr>
          <w:p w14:paraId="45A80CF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2C93A69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&gt;1</w:t>
            </w:r>
          </w:p>
        </w:tc>
        <w:tc>
          <w:tcPr>
            <w:tcW w:w="662" w:type="pct"/>
            <w:vAlign w:val="center"/>
          </w:tcPr>
          <w:p w14:paraId="0A3BC74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392" w:type="pct"/>
            <w:vMerge w:val="continue"/>
            <w:tcBorders>
              <w:top w:val="nil"/>
            </w:tcBorders>
            <w:vAlign w:val="center"/>
          </w:tcPr>
          <w:p w14:paraId="071D461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tcBorders>
            <w:vAlign w:val="center"/>
          </w:tcPr>
          <w:p w14:paraId="54E258A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09BA1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8" w:hRule="atLeast"/>
        </w:trPr>
        <w:tc>
          <w:tcPr>
            <w:tcW w:w="883" w:type="pct"/>
            <w:vMerge w:val="restart"/>
            <w:tcBorders>
              <w:bottom w:val="nil"/>
            </w:tcBorders>
            <w:vAlign w:val="center"/>
          </w:tcPr>
          <w:p w14:paraId="530CC2B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尾矿库（座）</w:t>
            </w:r>
          </w:p>
        </w:tc>
        <w:tc>
          <w:tcPr>
            <w:tcW w:w="559" w:type="pct"/>
            <w:vMerge w:val="restart"/>
            <w:tcBorders>
              <w:bottom w:val="nil"/>
            </w:tcBorders>
            <w:vAlign w:val="center"/>
          </w:tcPr>
          <w:p w14:paraId="2F94B90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44" w:type="pct"/>
            <w:vMerge w:val="restart"/>
            <w:tcBorders>
              <w:bottom w:val="nil"/>
            </w:tcBorders>
            <w:vAlign w:val="center"/>
          </w:tcPr>
          <w:p w14:paraId="5D7474D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480" w:type="pct"/>
            <w:vMerge w:val="restart"/>
            <w:tcBorders>
              <w:bottom w:val="nil"/>
            </w:tcBorders>
            <w:vAlign w:val="center"/>
          </w:tcPr>
          <w:p w14:paraId="7632147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50" w:type="pct"/>
            <w:vMerge w:val="restart"/>
            <w:tcBorders>
              <w:bottom w:val="nil"/>
            </w:tcBorders>
            <w:vAlign w:val="center"/>
          </w:tcPr>
          <w:p w14:paraId="1CECFEF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502" w:type="pct"/>
            <w:vAlign w:val="center"/>
          </w:tcPr>
          <w:p w14:paraId="198BE08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62" w:type="pct"/>
            <w:vAlign w:val="center"/>
          </w:tcPr>
          <w:p w14:paraId="0031D2A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392" w:type="pct"/>
            <w:vMerge w:val="restart"/>
            <w:tcBorders>
              <w:bottom w:val="nil"/>
            </w:tcBorders>
            <w:vAlign w:val="center"/>
          </w:tcPr>
          <w:p w14:paraId="14612B0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23" w:type="pct"/>
            <w:vMerge w:val="restart"/>
            <w:tcBorders>
              <w:bottom w:val="nil"/>
            </w:tcBorders>
            <w:vAlign w:val="center"/>
          </w:tcPr>
          <w:p w14:paraId="2E9ADA2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r>
      <w:tr w14:paraId="69A8A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continue"/>
            <w:tcBorders>
              <w:top w:val="nil"/>
              <w:bottom w:val="nil"/>
            </w:tcBorders>
            <w:vAlign w:val="center"/>
          </w:tcPr>
          <w:p w14:paraId="09C22AF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66DA352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628AE0E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bottom w:val="nil"/>
            </w:tcBorders>
            <w:vAlign w:val="center"/>
          </w:tcPr>
          <w:p w14:paraId="3D8102E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2A3AEE9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166B69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w:t>
            </w:r>
          </w:p>
        </w:tc>
        <w:tc>
          <w:tcPr>
            <w:tcW w:w="662" w:type="pct"/>
            <w:vAlign w:val="center"/>
          </w:tcPr>
          <w:p w14:paraId="2562ADA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5</w:t>
            </w:r>
          </w:p>
        </w:tc>
        <w:tc>
          <w:tcPr>
            <w:tcW w:w="392" w:type="pct"/>
            <w:vMerge w:val="continue"/>
            <w:tcBorders>
              <w:top w:val="nil"/>
              <w:bottom w:val="nil"/>
            </w:tcBorders>
            <w:vAlign w:val="center"/>
          </w:tcPr>
          <w:p w14:paraId="6461E0F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3882BCB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64318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bottom w:val="nil"/>
            </w:tcBorders>
            <w:vAlign w:val="center"/>
          </w:tcPr>
          <w:p w14:paraId="16393AA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restart"/>
            <w:tcBorders>
              <w:bottom w:val="nil"/>
            </w:tcBorders>
            <w:vAlign w:val="center"/>
          </w:tcPr>
          <w:p w14:paraId="24F7FB5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存在</w:t>
            </w:r>
          </w:p>
        </w:tc>
        <w:tc>
          <w:tcPr>
            <w:tcW w:w="644" w:type="pct"/>
            <w:vMerge w:val="restart"/>
            <w:tcBorders>
              <w:bottom w:val="nil"/>
            </w:tcBorders>
            <w:vAlign w:val="center"/>
          </w:tcPr>
          <w:p w14:paraId="2F5E65C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480" w:type="pct"/>
            <w:vMerge w:val="continue"/>
            <w:tcBorders>
              <w:top w:val="nil"/>
              <w:bottom w:val="nil"/>
            </w:tcBorders>
            <w:vAlign w:val="center"/>
          </w:tcPr>
          <w:p w14:paraId="43B13AC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3350588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2E05C48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2</w:t>
            </w:r>
          </w:p>
        </w:tc>
        <w:tc>
          <w:tcPr>
            <w:tcW w:w="662" w:type="pct"/>
            <w:vAlign w:val="center"/>
          </w:tcPr>
          <w:p w14:paraId="7B1CCA1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7</w:t>
            </w:r>
          </w:p>
        </w:tc>
        <w:tc>
          <w:tcPr>
            <w:tcW w:w="392" w:type="pct"/>
            <w:vMerge w:val="continue"/>
            <w:tcBorders>
              <w:top w:val="nil"/>
              <w:bottom w:val="nil"/>
            </w:tcBorders>
            <w:vAlign w:val="center"/>
          </w:tcPr>
          <w:p w14:paraId="2F4790A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72943BB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3707C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continue"/>
            <w:tcBorders>
              <w:top w:val="nil"/>
              <w:bottom w:val="nil"/>
            </w:tcBorders>
            <w:vAlign w:val="center"/>
          </w:tcPr>
          <w:p w14:paraId="2944449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bottom w:val="nil"/>
            </w:tcBorders>
            <w:vAlign w:val="center"/>
          </w:tcPr>
          <w:p w14:paraId="2871C9D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bottom w:val="nil"/>
            </w:tcBorders>
            <w:vAlign w:val="center"/>
          </w:tcPr>
          <w:p w14:paraId="50A3A9E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bottom w:val="nil"/>
            </w:tcBorders>
            <w:vAlign w:val="center"/>
          </w:tcPr>
          <w:p w14:paraId="1E10331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551141C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3947DEA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3-4</w:t>
            </w:r>
          </w:p>
        </w:tc>
        <w:tc>
          <w:tcPr>
            <w:tcW w:w="662" w:type="pct"/>
            <w:vAlign w:val="center"/>
          </w:tcPr>
          <w:p w14:paraId="5C4C766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8</w:t>
            </w:r>
          </w:p>
        </w:tc>
        <w:tc>
          <w:tcPr>
            <w:tcW w:w="392" w:type="pct"/>
            <w:vMerge w:val="continue"/>
            <w:tcBorders>
              <w:top w:val="nil"/>
              <w:bottom w:val="nil"/>
            </w:tcBorders>
            <w:vAlign w:val="center"/>
          </w:tcPr>
          <w:p w14:paraId="751C898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5DDE086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4E22D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tcBorders>
            <w:vAlign w:val="center"/>
          </w:tcPr>
          <w:p w14:paraId="1FC3DAC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002D8FB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339D41D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tcBorders>
            <w:vAlign w:val="center"/>
          </w:tcPr>
          <w:p w14:paraId="118E82D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tcBorders>
            <w:vAlign w:val="center"/>
          </w:tcPr>
          <w:p w14:paraId="38ACF93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768266B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&gt;5</w:t>
            </w:r>
          </w:p>
        </w:tc>
        <w:tc>
          <w:tcPr>
            <w:tcW w:w="662" w:type="pct"/>
            <w:vAlign w:val="center"/>
          </w:tcPr>
          <w:p w14:paraId="799A3D9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392" w:type="pct"/>
            <w:vMerge w:val="continue"/>
            <w:tcBorders>
              <w:top w:val="nil"/>
            </w:tcBorders>
            <w:vAlign w:val="center"/>
          </w:tcPr>
          <w:p w14:paraId="09ED000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tcBorders>
            <w:vAlign w:val="center"/>
          </w:tcPr>
          <w:p w14:paraId="12A1EDD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7786C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restart"/>
            <w:tcBorders>
              <w:bottom w:val="nil"/>
            </w:tcBorders>
            <w:vAlign w:val="center"/>
          </w:tcPr>
          <w:p w14:paraId="54F724E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加油站（座）</w:t>
            </w:r>
          </w:p>
        </w:tc>
        <w:tc>
          <w:tcPr>
            <w:tcW w:w="559" w:type="pct"/>
            <w:vMerge w:val="restart"/>
            <w:tcBorders>
              <w:bottom w:val="nil"/>
            </w:tcBorders>
            <w:vAlign w:val="center"/>
          </w:tcPr>
          <w:p w14:paraId="30EF0B5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44" w:type="pct"/>
            <w:vMerge w:val="restart"/>
            <w:tcBorders>
              <w:bottom w:val="nil"/>
            </w:tcBorders>
            <w:vAlign w:val="center"/>
          </w:tcPr>
          <w:p w14:paraId="780B2A2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480" w:type="pct"/>
            <w:vMerge w:val="restart"/>
            <w:tcBorders>
              <w:bottom w:val="nil"/>
            </w:tcBorders>
            <w:vAlign w:val="center"/>
          </w:tcPr>
          <w:p w14:paraId="352F220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50" w:type="pct"/>
            <w:vMerge w:val="restart"/>
            <w:tcBorders>
              <w:bottom w:val="nil"/>
            </w:tcBorders>
            <w:vAlign w:val="center"/>
          </w:tcPr>
          <w:p w14:paraId="12317E7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502" w:type="pct"/>
            <w:vAlign w:val="center"/>
          </w:tcPr>
          <w:p w14:paraId="5229B63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62" w:type="pct"/>
            <w:vAlign w:val="center"/>
          </w:tcPr>
          <w:p w14:paraId="148C315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392" w:type="pct"/>
            <w:vMerge w:val="restart"/>
            <w:tcBorders>
              <w:bottom w:val="nil"/>
            </w:tcBorders>
            <w:vAlign w:val="center"/>
          </w:tcPr>
          <w:p w14:paraId="2ABFB12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23" w:type="pct"/>
            <w:vMerge w:val="restart"/>
            <w:tcBorders>
              <w:bottom w:val="nil"/>
            </w:tcBorders>
            <w:vAlign w:val="center"/>
          </w:tcPr>
          <w:p w14:paraId="4DC4D0B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r>
      <w:tr w14:paraId="58573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continue"/>
            <w:tcBorders>
              <w:top w:val="nil"/>
              <w:bottom w:val="nil"/>
            </w:tcBorders>
            <w:vAlign w:val="center"/>
          </w:tcPr>
          <w:p w14:paraId="6643986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794DA3F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2D0B1E4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bottom w:val="nil"/>
            </w:tcBorders>
            <w:vAlign w:val="center"/>
          </w:tcPr>
          <w:p w14:paraId="484D3F6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26D76DB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10122F6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1-2</w:t>
            </w:r>
          </w:p>
        </w:tc>
        <w:tc>
          <w:tcPr>
            <w:tcW w:w="662" w:type="pct"/>
            <w:vAlign w:val="center"/>
          </w:tcPr>
          <w:p w14:paraId="5A11761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2</w:t>
            </w:r>
          </w:p>
        </w:tc>
        <w:tc>
          <w:tcPr>
            <w:tcW w:w="392" w:type="pct"/>
            <w:vMerge w:val="continue"/>
            <w:tcBorders>
              <w:top w:val="nil"/>
              <w:bottom w:val="nil"/>
            </w:tcBorders>
            <w:vAlign w:val="center"/>
          </w:tcPr>
          <w:p w14:paraId="62CEB5F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29ECDE1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7658D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bottom w:val="nil"/>
            </w:tcBorders>
            <w:vAlign w:val="center"/>
          </w:tcPr>
          <w:p w14:paraId="1B02904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restart"/>
            <w:tcBorders>
              <w:bottom w:val="nil"/>
            </w:tcBorders>
            <w:vAlign w:val="center"/>
          </w:tcPr>
          <w:p w14:paraId="470B21B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存在</w:t>
            </w:r>
          </w:p>
        </w:tc>
        <w:tc>
          <w:tcPr>
            <w:tcW w:w="644" w:type="pct"/>
            <w:vMerge w:val="restart"/>
            <w:tcBorders>
              <w:bottom w:val="nil"/>
            </w:tcBorders>
            <w:vAlign w:val="center"/>
          </w:tcPr>
          <w:p w14:paraId="5F4E7BB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480" w:type="pct"/>
            <w:vMerge w:val="continue"/>
            <w:tcBorders>
              <w:top w:val="nil"/>
              <w:bottom w:val="nil"/>
            </w:tcBorders>
            <w:vAlign w:val="center"/>
          </w:tcPr>
          <w:p w14:paraId="2B06188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392A850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59989BB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3-5</w:t>
            </w:r>
          </w:p>
        </w:tc>
        <w:tc>
          <w:tcPr>
            <w:tcW w:w="662" w:type="pct"/>
            <w:vAlign w:val="center"/>
          </w:tcPr>
          <w:p w14:paraId="73AF6C8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w:t>
            </w:r>
          </w:p>
        </w:tc>
        <w:tc>
          <w:tcPr>
            <w:tcW w:w="392" w:type="pct"/>
            <w:vMerge w:val="continue"/>
            <w:tcBorders>
              <w:top w:val="nil"/>
              <w:bottom w:val="nil"/>
            </w:tcBorders>
            <w:vAlign w:val="center"/>
          </w:tcPr>
          <w:p w14:paraId="6EBB01E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26F4513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6A83F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8" w:hRule="atLeast"/>
        </w:trPr>
        <w:tc>
          <w:tcPr>
            <w:tcW w:w="883" w:type="pct"/>
            <w:vMerge w:val="continue"/>
            <w:tcBorders>
              <w:top w:val="nil"/>
              <w:bottom w:val="nil"/>
            </w:tcBorders>
            <w:vAlign w:val="center"/>
          </w:tcPr>
          <w:p w14:paraId="5D4DABF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bottom w:val="nil"/>
            </w:tcBorders>
            <w:vAlign w:val="center"/>
          </w:tcPr>
          <w:p w14:paraId="1949FF4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bottom w:val="nil"/>
            </w:tcBorders>
            <w:vAlign w:val="center"/>
          </w:tcPr>
          <w:p w14:paraId="1FC7B9A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bottom w:val="nil"/>
            </w:tcBorders>
            <w:vAlign w:val="center"/>
          </w:tcPr>
          <w:p w14:paraId="606B0DD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126537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4D720FB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6-8</w:t>
            </w:r>
          </w:p>
        </w:tc>
        <w:tc>
          <w:tcPr>
            <w:tcW w:w="662" w:type="pct"/>
            <w:vAlign w:val="center"/>
          </w:tcPr>
          <w:p w14:paraId="3A50B09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8</w:t>
            </w:r>
          </w:p>
        </w:tc>
        <w:tc>
          <w:tcPr>
            <w:tcW w:w="392" w:type="pct"/>
            <w:vMerge w:val="continue"/>
            <w:tcBorders>
              <w:top w:val="nil"/>
              <w:bottom w:val="nil"/>
            </w:tcBorders>
            <w:vAlign w:val="center"/>
          </w:tcPr>
          <w:p w14:paraId="600B365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1C0DDC4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2EEC9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continue"/>
            <w:tcBorders>
              <w:top w:val="nil"/>
            </w:tcBorders>
            <w:vAlign w:val="center"/>
          </w:tcPr>
          <w:p w14:paraId="72D6767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3FF7598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4BEF54A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tcBorders>
            <w:vAlign w:val="center"/>
          </w:tcPr>
          <w:p w14:paraId="781025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tcBorders>
            <w:vAlign w:val="center"/>
          </w:tcPr>
          <w:p w14:paraId="64620B7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13326B3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&gt;8</w:t>
            </w:r>
          </w:p>
        </w:tc>
        <w:tc>
          <w:tcPr>
            <w:tcW w:w="662" w:type="pct"/>
            <w:vAlign w:val="center"/>
          </w:tcPr>
          <w:p w14:paraId="13EE739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392" w:type="pct"/>
            <w:vMerge w:val="continue"/>
            <w:tcBorders>
              <w:top w:val="nil"/>
            </w:tcBorders>
            <w:vAlign w:val="center"/>
          </w:tcPr>
          <w:p w14:paraId="408204E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tcBorders>
            <w:vAlign w:val="center"/>
          </w:tcPr>
          <w:p w14:paraId="7B716EB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0133E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restart"/>
            <w:tcBorders>
              <w:bottom w:val="nil"/>
            </w:tcBorders>
            <w:vAlign w:val="center"/>
          </w:tcPr>
          <w:p w14:paraId="6384AB0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油品储罐（座）</w:t>
            </w:r>
          </w:p>
        </w:tc>
        <w:tc>
          <w:tcPr>
            <w:tcW w:w="559" w:type="pct"/>
            <w:vMerge w:val="restart"/>
            <w:tcBorders>
              <w:bottom w:val="nil"/>
            </w:tcBorders>
            <w:vAlign w:val="center"/>
          </w:tcPr>
          <w:p w14:paraId="324E445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44" w:type="pct"/>
            <w:vMerge w:val="restart"/>
            <w:tcBorders>
              <w:bottom w:val="nil"/>
            </w:tcBorders>
            <w:vAlign w:val="center"/>
          </w:tcPr>
          <w:p w14:paraId="31FEACC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480" w:type="pct"/>
            <w:vMerge w:val="restart"/>
            <w:tcBorders>
              <w:bottom w:val="nil"/>
            </w:tcBorders>
            <w:vAlign w:val="center"/>
          </w:tcPr>
          <w:p w14:paraId="67FF6A7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50" w:type="pct"/>
            <w:vMerge w:val="restart"/>
            <w:tcBorders>
              <w:bottom w:val="nil"/>
            </w:tcBorders>
            <w:vAlign w:val="center"/>
          </w:tcPr>
          <w:p w14:paraId="206C487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502" w:type="pct"/>
            <w:vAlign w:val="center"/>
          </w:tcPr>
          <w:p w14:paraId="0F12D58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62" w:type="pct"/>
            <w:vAlign w:val="center"/>
          </w:tcPr>
          <w:p w14:paraId="62D7C24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392" w:type="pct"/>
            <w:vMerge w:val="restart"/>
            <w:tcBorders>
              <w:bottom w:val="nil"/>
            </w:tcBorders>
            <w:vAlign w:val="center"/>
          </w:tcPr>
          <w:p w14:paraId="2D5BD96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23" w:type="pct"/>
            <w:vMerge w:val="restart"/>
            <w:tcBorders>
              <w:bottom w:val="nil"/>
            </w:tcBorders>
            <w:vAlign w:val="center"/>
          </w:tcPr>
          <w:p w14:paraId="4B55D01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r>
      <w:tr w14:paraId="1B7E3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bottom w:val="nil"/>
            </w:tcBorders>
            <w:vAlign w:val="center"/>
          </w:tcPr>
          <w:p w14:paraId="74F2287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bottom w:val="nil"/>
            </w:tcBorders>
            <w:vAlign w:val="center"/>
          </w:tcPr>
          <w:p w14:paraId="38A9551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bottom w:val="nil"/>
            </w:tcBorders>
            <w:vAlign w:val="center"/>
          </w:tcPr>
          <w:p w14:paraId="651A299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bottom w:val="nil"/>
            </w:tcBorders>
            <w:vAlign w:val="center"/>
          </w:tcPr>
          <w:p w14:paraId="1587C1C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5D10689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6E25E6E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w:t>
            </w:r>
          </w:p>
        </w:tc>
        <w:tc>
          <w:tcPr>
            <w:tcW w:w="662" w:type="pct"/>
            <w:vAlign w:val="center"/>
          </w:tcPr>
          <w:p w14:paraId="3C50AF9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2</w:t>
            </w:r>
          </w:p>
        </w:tc>
        <w:tc>
          <w:tcPr>
            <w:tcW w:w="392" w:type="pct"/>
            <w:vMerge w:val="continue"/>
            <w:tcBorders>
              <w:top w:val="nil"/>
              <w:bottom w:val="nil"/>
            </w:tcBorders>
            <w:vAlign w:val="center"/>
          </w:tcPr>
          <w:p w14:paraId="2972970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6176834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2E461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continue"/>
            <w:tcBorders>
              <w:top w:val="nil"/>
              <w:bottom w:val="nil"/>
            </w:tcBorders>
            <w:vAlign w:val="center"/>
          </w:tcPr>
          <w:p w14:paraId="49FD889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1EB46A4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1576D5A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bottom w:val="nil"/>
            </w:tcBorders>
            <w:vAlign w:val="center"/>
          </w:tcPr>
          <w:p w14:paraId="511D8C9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598DC05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11EC4C6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2-3</w:t>
            </w:r>
          </w:p>
        </w:tc>
        <w:tc>
          <w:tcPr>
            <w:tcW w:w="662" w:type="pct"/>
            <w:vAlign w:val="center"/>
          </w:tcPr>
          <w:p w14:paraId="60A80F9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w:t>
            </w:r>
          </w:p>
        </w:tc>
        <w:tc>
          <w:tcPr>
            <w:tcW w:w="392" w:type="pct"/>
            <w:vMerge w:val="continue"/>
            <w:tcBorders>
              <w:top w:val="nil"/>
              <w:bottom w:val="nil"/>
            </w:tcBorders>
            <w:vAlign w:val="center"/>
          </w:tcPr>
          <w:p w14:paraId="25348FC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5898D4B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27167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bottom w:val="nil"/>
            </w:tcBorders>
            <w:vAlign w:val="center"/>
          </w:tcPr>
          <w:p w14:paraId="1F4A519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restart"/>
            <w:tcBorders>
              <w:bottom w:val="nil"/>
            </w:tcBorders>
            <w:vAlign w:val="center"/>
          </w:tcPr>
          <w:p w14:paraId="38FE7A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存在</w:t>
            </w:r>
          </w:p>
        </w:tc>
        <w:tc>
          <w:tcPr>
            <w:tcW w:w="644" w:type="pct"/>
            <w:vMerge w:val="restart"/>
            <w:tcBorders>
              <w:bottom w:val="nil"/>
            </w:tcBorders>
            <w:vAlign w:val="center"/>
          </w:tcPr>
          <w:p w14:paraId="2B20970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480" w:type="pct"/>
            <w:vMerge w:val="continue"/>
            <w:tcBorders>
              <w:top w:val="nil"/>
              <w:bottom w:val="nil"/>
            </w:tcBorders>
            <w:vAlign w:val="center"/>
          </w:tcPr>
          <w:p w14:paraId="765ABFD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bottom w:val="nil"/>
            </w:tcBorders>
            <w:vAlign w:val="center"/>
          </w:tcPr>
          <w:p w14:paraId="2118D24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48D33BD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4-5</w:t>
            </w:r>
          </w:p>
        </w:tc>
        <w:tc>
          <w:tcPr>
            <w:tcW w:w="662" w:type="pct"/>
            <w:vAlign w:val="center"/>
          </w:tcPr>
          <w:p w14:paraId="5C3B75B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6</w:t>
            </w:r>
          </w:p>
        </w:tc>
        <w:tc>
          <w:tcPr>
            <w:tcW w:w="392" w:type="pct"/>
            <w:vMerge w:val="continue"/>
            <w:tcBorders>
              <w:top w:val="nil"/>
              <w:bottom w:val="nil"/>
            </w:tcBorders>
            <w:vAlign w:val="center"/>
          </w:tcPr>
          <w:p w14:paraId="624EB59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bottom w:val="nil"/>
            </w:tcBorders>
            <w:vAlign w:val="center"/>
          </w:tcPr>
          <w:p w14:paraId="64BB2EF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6738B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tcBorders>
              <w:top w:val="nil"/>
            </w:tcBorders>
            <w:vAlign w:val="center"/>
          </w:tcPr>
          <w:p w14:paraId="223E2F7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5B4B479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33FD143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top w:val="nil"/>
            </w:tcBorders>
            <w:vAlign w:val="center"/>
          </w:tcPr>
          <w:p w14:paraId="2752840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top w:val="nil"/>
            </w:tcBorders>
            <w:vAlign w:val="center"/>
          </w:tcPr>
          <w:p w14:paraId="6575E0E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08096B7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&gt;5</w:t>
            </w:r>
          </w:p>
        </w:tc>
        <w:tc>
          <w:tcPr>
            <w:tcW w:w="662" w:type="pct"/>
            <w:vAlign w:val="center"/>
          </w:tcPr>
          <w:p w14:paraId="3952372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392" w:type="pct"/>
            <w:vMerge w:val="continue"/>
            <w:tcBorders>
              <w:top w:val="nil"/>
            </w:tcBorders>
            <w:vAlign w:val="center"/>
          </w:tcPr>
          <w:p w14:paraId="545E218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top w:val="nil"/>
            </w:tcBorders>
            <w:vAlign w:val="center"/>
          </w:tcPr>
          <w:p w14:paraId="7DB205E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3CFB9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restart"/>
            <w:vAlign w:val="center"/>
          </w:tcPr>
          <w:p w14:paraId="01F0676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码头吞吐量（万吨/年）</w:t>
            </w:r>
          </w:p>
        </w:tc>
        <w:tc>
          <w:tcPr>
            <w:tcW w:w="559" w:type="pct"/>
            <w:vMerge w:val="restart"/>
            <w:tcBorders>
              <w:bottom w:val="nil"/>
            </w:tcBorders>
            <w:vAlign w:val="center"/>
          </w:tcPr>
          <w:p w14:paraId="761BA36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44" w:type="pct"/>
            <w:vMerge w:val="restart"/>
            <w:tcBorders>
              <w:bottom w:val="nil"/>
            </w:tcBorders>
            <w:vAlign w:val="center"/>
          </w:tcPr>
          <w:p w14:paraId="6AB4800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480" w:type="pct"/>
            <w:vMerge w:val="restart"/>
            <w:vAlign w:val="center"/>
          </w:tcPr>
          <w:p w14:paraId="0D0D214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50" w:type="pct"/>
            <w:vMerge w:val="restart"/>
            <w:vAlign w:val="center"/>
          </w:tcPr>
          <w:p w14:paraId="71CDD72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502" w:type="pct"/>
            <w:vAlign w:val="center"/>
          </w:tcPr>
          <w:p w14:paraId="6330553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662" w:type="pct"/>
            <w:vAlign w:val="center"/>
          </w:tcPr>
          <w:p w14:paraId="4A2EAD1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c>
          <w:tcPr>
            <w:tcW w:w="392" w:type="pct"/>
            <w:vMerge w:val="restart"/>
            <w:vAlign w:val="center"/>
          </w:tcPr>
          <w:p w14:paraId="434DD99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无</w:t>
            </w:r>
          </w:p>
        </w:tc>
        <w:tc>
          <w:tcPr>
            <w:tcW w:w="423" w:type="pct"/>
            <w:vMerge w:val="restart"/>
            <w:vAlign w:val="center"/>
          </w:tcPr>
          <w:p w14:paraId="32C45B8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w:t>
            </w:r>
          </w:p>
        </w:tc>
      </w:tr>
      <w:tr w14:paraId="78788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vAlign w:val="center"/>
          </w:tcPr>
          <w:p w14:paraId="41D2C2A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bottom w:val="nil"/>
            </w:tcBorders>
            <w:vAlign w:val="center"/>
          </w:tcPr>
          <w:p w14:paraId="3E07CDD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bottom w:val="nil"/>
            </w:tcBorders>
            <w:vAlign w:val="center"/>
          </w:tcPr>
          <w:p w14:paraId="4E1BC93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vAlign w:val="center"/>
          </w:tcPr>
          <w:p w14:paraId="62445B5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vAlign w:val="center"/>
          </w:tcPr>
          <w:p w14:paraId="46A97BB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5FC74EE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&lt;0.1</w:t>
            </w:r>
          </w:p>
        </w:tc>
        <w:tc>
          <w:tcPr>
            <w:tcW w:w="662" w:type="pct"/>
            <w:vAlign w:val="center"/>
          </w:tcPr>
          <w:p w14:paraId="77BCBE6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w:t>
            </w:r>
          </w:p>
        </w:tc>
        <w:tc>
          <w:tcPr>
            <w:tcW w:w="392" w:type="pct"/>
            <w:vMerge w:val="continue"/>
            <w:vAlign w:val="center"/>
          </w:tcPr>
          <w:p w14:paraId="303A5E8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vAlign w:val="center"/>
          </w:tcPr>
          <w:p w14:paraId="1111893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06A10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883" w:type="pct"/>
            <w:vMerge w:val="continue"/>
            <w:vAlign w:val="center"/>
          </w:tcPr>
          <w:p w14:paraId="4C529E6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bottom w:val="nil"/>
            </w:tcBorders>
            <w:vAlign w:val="center"/>
          </w:tcPr>
          <w:p w14:paraId="40358D5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bottom w:val="nil"/>
            </w:tcBorders>
            <w:vAlign w:val="center"/>
          </w:tcPr>
          <w:p w14:paraId="0854424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vAlign w:val="center"/>
          </w:tcPr>
          <w:p w14:paraId="2163A83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vAlign w:val="center"/>
          </w:tcPr>
          <w:p w14:paraId="016EA36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2CDF78A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0.1-1</w:t>
            </w:r>
          </w:p>
        </w:tc>
        <w:tc>
          <w:tcPr>
            <w:tcW w:w="662" w:type="pct"/>
            <w:vAlign w:val="center"/>
          </w:tcPr>
          <w:p w14:paraId="1114BA3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2</w:t>
            </w:r>
          </w:p>
        </w:tc>
        <w:tc>
          <w:tcPr>
            <w:tcW w:w="392" w:type="pct"/>
            <w:vMerge w:val="continue"/>
            <w:vAlign w:val="center"/>
          </w:tcPr>
          <w:p w14:paraId="3497A3F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vAlign w:val="center"/>
          </w:tcPr>
          <w:p w14:paraId="1EA7C70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649E7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vAlign w:val="center"/>
          </w:tcPr>
          <w:p w14:paraId="2AB87F8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top w:val="nil"/>
            </w:tcBorders>
            <w:vAlign w:val="center"/>
          </w:tcPr>
          <w:p w14:paraId="0EC44A7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top w:val="nil"/>
            </w:tcBorders>
            <w:vAlign w:val="center"/>
          </w:tcPr>
          <w:p w14:paraId="51B9B39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vAlign w:val="center"/>
          </w:tcPr>
          <w:p w14:paraId="7E05EB4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vAlign w:val="center"/>
          </w:tcPr>
          <w:p w14:paraId="7515106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060EB77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1-5</w:t>
            </w:r>
          </w:p>
        </w:tc>
        <w:tc>
          <w:tcPr>
            <w:tcW w:w="662" w:type="pct"/>
            <w:vAlign w:val="center"/>
          </w:tcPr>
          <w:p w14:paraId="7B6DFF4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4</w:t>
            </w:r>
          </w:p>
        </w:tc>
        <w:tc>
          <w:tcPr>
            <w:tcW w:w="392" w:type="pct"/>
            <w:vMerge w:val="continue"/>
            <w:vAlign w:val="center"/>
          </w:tcPr>
          <w:p w14:paraId="58A7F8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vAlign w:val="center"/>
          </w:tcPr>
          <w:p w14:paraId="468D017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14224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83" w:type="pct"/>
            <w:vMerge w:val="continue"/>
            <w:vAlign w:val="center"/>
          </w:tcPr>
          <w:p w14:paraId="1A9ED05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restart"/>
            <w:vAlign w:val="center"/>
          </w:tcPr>
          <w:p w14:paraId="0485487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存在</w:t>
            </w:r>
          </w:p>
        </w:tc>
        <w:tc>
          <w:tcPr>
            <w:tcW w:w="644" w:type="pct"/>
            <w:vMerge w:val="restart"/>
            <w:vAlign w:val="center"/>
          </w:tcPr>
          <w:p w14:paraId="485774E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w:t>
            </w:r>
          </w:p>
        </w:tc>
        <w:tc>
          <w:tcPr>
            <w:tcW w:w="480" w:type="pct"/>
            <w:vMerge w:val="continue"/>
            <w:vAlign w:val="center"/>
          </w:tcPr>
          <w:p w14:paraId="7CB871C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vAlign w:val="center"/>
          </w:tcPr>
          <w:p w14:paraId="51C6811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5FD0A43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5-10</w:t>
            </w:r>
          </w:p>
        </w:tc>
        <w:tc>
          <w:tcPr>
            <w:tcW w:w="662" w:type="pct"/>
            <w:vAlign w:val="center"/>
          </w:tcPr>
          <w:p w14:paraId="0D33981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6</w:t>
            </w:r>
          </w:p>
        </w:tc>
        <w:tc>
          <w:tcPr>
            <w:tcW w:w="392" w:type="pct"/>
            <w:vMerge w:val="continue"/>
            <w:vAlign w:val="center"/>
          </w:tcPr>
          <w:p w14:paraId="4B2B1E6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vAlign w:val="center"/>
          </w:tcPr>
          <w:p w14:paraId="1B3A9F0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50049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3" w:hRule="atLeast"/>
        </w:trPr>
        <w:tc>
          <w:tcPr>
            <w:tcW w:w="883" w:type="pct"/>
            <w:vMerge w:val="continue"/>
            <w:vAlign w:val="center"/>
          </w:tcPr>
          <w:p w14:paraId="414AB00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vAlign w:val="center"/>
          </w:tcPr>
          <w:p w14:paraId="2F95E17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vAlign w:val="center"/>
          </w:tcPr>
          <w:p w14:paraId="0D19142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vAlign w:val="center"/>
          </w:tcPr>
          <w:p w14:paraId="762A3CE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vAlign w:val="center"/>
          </w:tcPr>
          <w:p w14:paraId="26F43C0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vAlign w:val="center"/>
          </w:tcPr>
          <w:p w14:paraId="39537F8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10-50</w:t>
            </w:r>
          </w:p>
        </w:tc>
        <w:tc>
          <w:tcPr>
            <w:tcW w:w="662" w:type="pct"/>
            <w:vAlign w:val="center"/>
          </w:tcPr>
          <w:p w14:paraId="387DDE9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1"/>
                <w:szCs w:val="21"/>
                <w:highlight w:val="none"/>
              </w:rPr>
            </w:pPr>
            <w:r>
              <w:rPr>
                <w:rFonts w:ascii="仿宋" w:hAnsi="仿宋" w:eastAsia="仿宋" w:cs="仿宋"/>
                <w:color w:val="auto"/>
                <w:spacing w:val="0"/>
                <w:w w:val="100"/>
                <w:position w:val="0"/>
                <w:sz w:val="21"/>
                <w:szCs w:val="21"/>
                <w:highlight w:val="none"/>
              </w:rPr>
              <w:t>8</w:t>
            </w:r>
          </w:p>
        </w:tc>
        <w:tc>
          <w:tcPr>
            <w:tcW w:w="392" w:type="pct"/>
            <w:vMerge w:val="continue"/>
            <w:vAlign w:val="center"/>
          </w:tcPr>
          <w:p w14:paraId="436AD61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vAlign w:val="center"/>
          </w:tcPr>
          <w:p w14:paraId="0D8F6E8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1F2F3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vMerge w:val="continue"/>
            <w:tcBorders>
              <w:bottom w:val="nil"/>
            </w:tcBorders>
            <w:vAlign w:val="center"/>
          </w:tcPr>
          <w:p w14:paraId="19D535E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59" w:type="pct"/>
            <w:vMerge w:val="continue"/>
            <w:tcBorders>
              <w:bottom w:val="nil"/>
            </w:tcBorders>
            <w:vAlign w:val="center"/>
          </w:tcPr>
          <w:p w14:paraId="635FC3D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44" w:type="pct"/>
            <w:vMerge w:val="continue"/>
            <w:tcBorders>
              <w:bottom w:val="nil"/>
            </w:tcBorders>
            <w:vAlign w:val="center"/>
          </w:tcPr>
          <w:p w14:paraId="317039B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80" w:type="pct"/>
            <w:vMerge w:val="continue"/>
            <w:tcBorders>
              <w:bottom w:val="nil"/>
            </w:tcBorders>
            <w:vAlign w:val="center"/>
          </w:tcPr>
          <w:p w14:paraId="1D3CE1F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50" w:type="pct"/>
            <w:vMerge w:val="continue"/>
            <w:tcBorders>
              <w:bottom w:val="nil"/>
            </w:tcBorders>
            <w:vAlign w:val="center"/>
          </w:tcPr>
          <w:p w14:paraId="0ACA233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502" w:type="pct"/>
            <w:shd w:val="clear" w:color="auto" w:fill="auto"/>
            <w:vAlign w:val="center"/>
          </w:tcPr>
          <w:p w14:paraId="21B3388E">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&gt;50</w:t>
            </w:r>
          </w:p>
        </w:tc>
        <w:tc>
          <w:tcPr>
            <w:tcW w:w="662" w:type="pct"/>
            <w:shd w:val="clear" w:color="auto" w:fill="auto"/>
            <w:vAlign w:val="center"/>
          </w:tcPr>
          <w:p w14:paraId="3EEA484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10</w:t>
            </w:r>
          </w:p>
        </w:tc>
        <w:tc>
          <w:tcPr>
            <w:tcW w:w="392" w:type="pct"/>
            <w:vMerge w:val="continue"/>
            <w:tcBorders>
              <w:bottom w:val="nil"/>
            </w:tcBorders>
            <w:vAlign w:val="center"/>
          </w:tcPr>
          <w:p w14:paraId="71FBFDC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23" w:type="pct"/>
            <w:vMerge w:val="continue"/>
            <w:tcBorders>
              <w:bottom w:val="nil"/>
            </w:tcBorders>
            <w:vAlign w:val="center"/>
          </w:tcPr>
          <w:p w14:paraId="5C56298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66D6E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vMerge w:val="restart"/>
            <w:tcBorders>
              <w:top w:val="nil"/>
            </w:tcBorders>
            <w:shd w:val="clear" w:color="auto" w:fill="auto"/>
            <w:vAlign w:val="center"/>
          </w:tcPr>
          <w:p w14:paraId="2252FCA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污/废水处理设施（万吨/日）</w:t>
            </w:r>
          </w:p>
        </w:tc>
        <w:tc>
          <w:tcPr>
            <w:tcW w:w="559" w:type="pct"/>
            <w:vMerge w:val="restart"/>
            <w:tcBorders>
              <w:top w:val="nil"/>
            </w:tcBorders>
            <w:shd w:val="clear" w:color="auto" w:fill="auto"/>
            <w:vAlign w:val="center"/>
          </w:tcPr>
          <w:p w14:paraId="253443E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无</w:t>
            </w:r>
          </w:p>
        </w:tc>
        <w:tc>
          <w:tcPr>
            <w:tcW w:w="644" w:type="pct"/>
            <w:vMerge w:val="restart"/>
            <w:tcBorders>
              <w:top w:val="nil"/>
            </w:tcBorders>
            <w:shd w:val="clear" w:color="auto" w:fill="auto"/>
            <w:vAlign w:val="center"/>
          </w:tcPr>
          <w:p w14:paraId="0ED5D3B0">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0</w:t>
            </w:r>
          </w:p>
        </w:tc>
        <w:tc>
          <w:tcPr>
            <w:tcW w:w="480" w:type="pct"/>
            <w:vMerge w:val="restart"/>
            <w:tcBorders>
              <w:top w:val="nil"/>
            </w:tcBorders>
            <w:shd w:val="clear" w:color="auto" w:fill="auto"/>
            <w:vAlign w:val="center"/>
          </w:tcPr>
          <w:p w14:paraId="1EA0388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无</w:t>
            </w:r>
          </w:p>
        </w:tc>
        <w:tc>
          <w:tcPr>
            <w:tcW w:w="450" w:type="pct"/>
            <w:vMerge w:val="restart"/>
            <w:tcBorders>
              <w:top w:val="nil"/>
            </w:tcBorders>
            <w:shd w:val="clear" w:color="auto" w:fill="auto"/>
            <w:vAlign w:val="center"/>
          </w:tcPr>
          <w:p w14:paraId="58A15C61">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0</w:t>
            </w:r>
          </w:p>
        </w:tc>
        <w:tc>
          <w:tcPr>
            <w:tcW w:w="502" w:type="pct"/>
            <w:shd w:val="clear" w:color="auto" w:fill="auto"/>
            <w:vAlign w:val="center"/>
          </w:tcPr>
          <w:p w14:paraId="3390AAEE">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无</w:t>
            </w:r>
          </w:p>
        </w:tc>
        <w:tc>
          <w:tcPr>
            <w:tcW w:w="662" w:type="pct"/>
            <w:shd w:val="clear" w:color="auto" w:fill="auto"/>
            <w:vAlign w:val="center"/>
          </w:tcPr>
          <w:p w14:paraId="4D0CBE89">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0</w:t>
            </w:r>
          </w:p>
        </w:tc>
        <w:tc>
          <w:tcPr>
            <w:tcW w:w="392" w:type="pct"/>
            <w:vMerge w:val="restart"/>
            <w:tcBorders>
              <w:top w:val="nil"/>
            </w:tcBorders>
            <w:shd w:val="clear" w:color="auto" w:fill="auto"/>
            <w:vAlign w:val="center"/>
          </w:tcPr>
          <w:p w14:paraId="33600922">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无</w:t>
            </w:r>
          </w:p>
        </w:tc>
        <w:tc>
          <w:tcPr>
            <w:tcW w:w="423" w:type="pct"/>
            <w:vMerge w:val="restart"/>
            <w:tcBorders>
              <w:top w:val="nil"/>
            </w:tcBorders>
            <w:shd w:val="clear" w:color="auto" w:fill="auto"/>
            <w:vAlign w:val="center"/>
          </w:tcPr>
          <w:p w14:paraId="200D34B0">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0</w:t>
            </w:r>
          </w:p>
        </w:tc>
      </w:tr>
      <w:tr w14:paraId="01F52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vMerge w:val="continue"/>
            <w:vAlign w:val="center"/>
          </w:tcPr>
          <w:p w14:paraId="720415A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59" w:type="pct"/>
            <w:vMerge w:val="continue"/>
            <w:vAlign w:val="center"/>
          </w:tcPr>
          <w:p w14:paraId="08A2010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644" w:type="pct"/>
            <w:vMerge w:val="continue"/>
            <w:vAlign w:val="center"/>
          </w:tcPr>
          <w:p w14:paraId="286392D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80" w:type="pct"/>
            <w:vMerge w:val="continue"/>
            <w:vAlign w:val="center"/>
          </w:tcPr>
          <w:p w14:paraId="44844D6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50" w:type="pct"/>
            <w:vMerge w:val="continue"/>
            <w:vAlign w:val="center"/>
          </w:tcPr>
          <w:p w14:paraId="72194FF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02" w:type="pct"/>
            <w:shd w:val="clear" w:color="auto" w:fill="auto"/>
            <w:vAlign w:val="center"/>
          </w:tcPr>
          <w:p w14:paraId="50A2DE09">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&lt;1</w:t>
            </w:r>
          </w:p>
        </w:tc>
        <w:tc>
          <w:tcPr>
            <w:tcW w:w="662" w:type="pct"/>
            <w:shd w:val="clear" w:color="auto" w:fill="auto"/>
            <w:vAlign w:val="center"/>
          </w:tcPr>
          <w:p w14:paraId="74313953">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1</w:t>
            </w:r>
          </w:p>
        </w:tc>
        <w:tc>
          <w:tcPr>
            <w:tcW w:w="392" w:type="pct"/>
            <w:vMerge w:val="continue"/>
            <w:vAlign w:val="center"/>
          </w:tcPr>
          <w:p w14:paraId="2855B8F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23" w:type="pct"/>
            <w:vMerge w:val="continue"/>
            <w:vAlign w:val="center"/>
          </w:tcPr>
          <w:p w14:paraId="72A41F1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r>
      <w:tr w14:paraId="69BE1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vMerge w:val="continue"/>
            <w:vAlign w:val="center"/>
          </w:tcPr>
          <w:p w14:paraId="3738DDB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59" w:type="pct"/>
            <w:vMerge w:val="continue"/>
            <w:vAlign w:val="center"/>
          </w:tcPr>
          <w:p w14:paraId="28B80D0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644" w:type="pct"/>
            <w:vMerge w:val="continue"/>
            <w:vAlign w:val="center"/>
          </w:tcPr>
          <w:p w14:paraId="6764B9F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80" w:type="pct"/>
            <w:vMerge w:val="continue"/>
            <w:vAlign w:val="center"/>
          </w:tcPr>
          <w:p w14:paraId="1337BDE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50" w:type="pct"/>
            <w:vMerge w:val="continue"/>
            <w:vAlign w:val="center"/>
          </w:tcPr>
          <w:p w14:paraId="0EE2B42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02" w:type="pct"/>
            <w:shd w:val="clear" w:color="auto" w:fill="auto"/>
            <w:vAlign w:val="center"/>
          </w:tcPr>
          <w:p w14:paraId="318CABA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1-2</w:t>
            </w:r>
          </w:p>
        </w:tc>
        <w:tc>
          <w:tcPr>
            <w:tcW w:w="662" w:type="pct"/>
            <w:shd w:val="clear" w:color="auto" w:fill="auto"/>
            <w:vAlign w:val="center"/>
          </w:tcPr>
          <w:p w14:paraId="78A346F3">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3</w:t>
            </w:r>
          </w:p>
        </w:tc>
        <w:tc>
          <w:tcPr>
            <w:tcW w:w="392" w:type="pct"/>
            <w:vMerge w:val="continue"/>
            <w:vAlign w:val="center"/>
          </w:tcPr>
          <w:p w14:paraId="65EBEE3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23" w:type="pct"/>
            <w:vMerge w:val="continue"/>
            <w:vAlign w:val="center"/>
          </w:tcPr>
          <w:p w14:paraId="702F4C8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r>
      <w:tr w14:paraId="49A0D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vMerge w:val="continue"/>
            <w:vAlign w:val="center"/>
          </w:tcPr>
          <w:p w14:paraId="41103F5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59" w:type="pct"/>
            <w:vMerge w:val="continue"/>
            <w:vAlign w:val="center"/>
          </w:tcPr>
          <w:p w14:paraId="582A9A2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644" w:type="pct"/>
            <w:vMerge w:val="continue"/>
            <w:vAlign w:val="center"/>
          </w:tcPr>
          <w:p w14:paraId="7E28B34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80" w:type="pct"/>
            <w:vMerge w:val="continue"/>
            <w:vAlign w:val="center"/>
          </w:tcPr>
          <w:p w14:paraId="71DF65E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50" w:type="pct"/>
            <w:vMerge w:val="continue"/>
            <w:vAlign w:val="center"/>
          </w:tcPr>
          <w:p w14:paraId="7D5ED04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02" w:type="pct"/>
            <w:shd w:val="clear" w:color="auto" w:fill="auto"/>
            <w:vAlign w:val="center"/>
          </w:tcPr>
          <w:p w14:paraId="1F69D07C">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3-5</w:t>
            </w:r>
          </w:p>
        </w:tc>
        <w:tc>
          <w:tcPr>
            <w:tcW w:w="662" w:type="pct"/>
            <w:shd w:val="clear" w:color="auto" w:fill="auto"/>
            <w:vAlign w:val="center"/>
          </w:tcPr>
          <w:p w14:paraId="49FE7023">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4</w:t>
            </w:r>
          </w:p>
        </w:tc>
        <w:tc>
          <w:tcPr>
            <w:tcW w:w="392" w:type="pct"/>
            <w:vMerge w:val="continue"/>
            <w:vAlign w:val="center"/>
          </w:tcPr>
          <w:p w14:paraId="0F24ED5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23" w:type="pct"/>
            <w:vMerge w:val="continue"/>
            <w:vAlign w:val="center"/>
          </w:tcPr>
          <w:p w14:paraId="3348493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r>
      <w:tr w14:paraId="01609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vMerge w:val="continue"/>
            <w:vAlign w:val="center"/>
          </w:tcPr>
          <w:p w14:paraId="34A4502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59" w:type="pct"/>
            <w:vMerge w:val="restart"/>
            <w:shd w:val="clear" w:color="auto" w:fill="auto"/>
            <w:vAlign w:val="center"/>
          </w:tcPr>
          <w:p w14:paraId="22B4EC4C">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存在</w:t>
            </w:r>
          </w:p>
        </w:tc>
        <w:tc>
          <w:tcPr>
            <w:tcW w:w="644" w:type="pct"/>
            <w:vMerge w:val="restart"/>
            <w:shd w:val="clear" w:color="auto" w:fill="auto"/>
            <w:vAlign w:val="center"/>
          </w:tcPr>
          <w:p w14:paraId="3C433A4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10</w:t>
            </w:r>
          </w:p>
        </w:tc>
        <w:tc>
          <w:tcPr>
            <w:tcW w:w="480" w:type="pct"/>
            <w:vMerge w:val="continue"/>
            <w:vAlign w:val="center"/>
          </w:tcPr>
          <w:p w14:paraId="40E312A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50" w:type="pct"/>
            <w:vMerge w:val="continue"/>
            <w:vAlign w:val="center"/>
          </w:tcPr>
          <w:p w14:paraId="1B98EA1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02" w:type="pct"/>
            <w:shd w:val="clear" w:color="auto" w:fill="auto"/>
            <w:vAlign w:val="center"/>
          </w:tcPr>
          <w:p w14:paraId="189DBFD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6-8</w:t>
            </w:r>
          </w:p>
        </w:tc>
        <w:tc>
          <w:tcPr>
            <w:tcW w:w="662" w:type="pct"/>
            <w:shd w:val="clear" w:color="auto" w:fill="auto"/>
            <w:vAlign w:val="center"/>
          </w:tcPr>
          <w:p w14:paraId="10963366">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6</w:t>
            </w:r>
          </w:p>
        </w:tc>
        <w:tc>
          <w:tcPr>
            <w:tcW w:w="392" w:type="pct"/>
            <w:vMerge w:val="continue"/>
            <w:vAlign w:val="center"/>
          </w:tcPr>
          <w:p w14:paraId="472454B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23" w:type="pct"/>
            <w:vMerge w:val="continue"/>
            <w:vAlign w:val="center"/>
          </w:tcPr>
          <w:p w14:paraId="1B1398C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r>
      <w:tr w14:paraId="2A097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vMerge w:val="continue"/>
            <w:vAlign w:val="center"/>
          </w:tcPr>
          <w:p w14:paraId="6308732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59" w:type="pct"/>
            <w:vMerge w:val="continue"/>
            <w:vAlign w:val="center"/>
          </w:tcPr>
          <w:p w14:paraId="7D0B830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644" w:type="pct"/>
            <w:vMerge w:val="continue"/>
            <w:vAlign w:val="center"/>
          </w:tcPr>
          <w:p w14:paraId="045C43D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80" w:type="pct"/>
            <w:vMerge w:val="continue"/>
            <w:vAlign w:val="center"/>
          </w:tcPr>
          <w:p w14:paraId="32E5A2B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50" w:type="pct"/>
            <w:vMerge w:val="continue"/>
            <w:vAlign w:val="center"/>
          </w:tcPr>
          <w:p w14:paraId="2FEF8EB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02" w:type="pct"/>
            <w:shd w:val="clear" w:color="auto" w:fill="auto"/>
            <w:vAlign w:val="center"/>
          </w:tcPr>
          <w:p w14:paraId="18B02DAC">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9-10</w:t>
            </w:r>
          </w:p>
        </w:tc>
        <w:tc>
          <w:tcPr>
            <w:tcW w:w="662" w:type="pct"/>
            <w:shd w:val="clear" w:color="auto" w:fill="auto"/>
            <w:vAlign w:val="center"/>
          </w:tcPr>
          <w:p w14:paraId="44F54D13">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8</w:t>
            </w:r>
          </w:p>
        </w:tc>
        <w:tc>
          <w:tcPr>
            <w:tcW w:w="392" w:type="pct"/>
            <w:vMerge w:val="continue"/>
            <w:vAlign w:val="center"/>
          </w:tcPr>
          <w:p w14:paraId="1488D9D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23" w:type="pct"/>
            <w:vMerge w:val="continue"/>
            <w:vAlign w:val="center"/>
          </w:tcPr>
          <w:p w14:paraId="5A418FA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r>
      <w:tr w14:paraId="21119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vMerge w:val="continue"/>
            <w:vAlign w:val="center"/>
          </w:tcPr>
          <w:p w14:paraId="4051D6C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59" w:type="pct"/>
            <w:vMerge w:val="continue"/>
            <w:vAlign w:val="center"/>
          </w:tcPr>
          <w:p w14:paraId="2341812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644" w:type="pct"/>
            <w:vMerge w:val="continue"/>
            <w:vAlign w:val="center"/>
          </w:tcPr>
          <w:p w14:paraId="477F951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80" w:type="pct"/>
            <w:vMerge w:val="continue"/>
            <w:vAlign w:val="center"/>
          </w:tcPr>
          <w:p w14:paraId="26F6525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50" w:type="pct"/>
            <w:vMerge w:val="continue"/>
            <w:vAlign w:val="center"/>
          </w:tcPr>
          <w:p w14:paraId="098D916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502" w:type="pct"/>
            <w:shd w:val="clear" w:color="auto" w:fill="auto"/>
            <w:vAlign w:val="center"/>
          </w:tcPr>
          <w:p w14:paraId="44D712AF">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&gt;10</w:t>
            </w:r>
          </w:p>
        </w:tc>
        <w:tc>
          <w:tcPr>
            <w:tcW w:w="662" w:type="pct"/>
            <w:shd w:val="clear" w:color="auto" w:fill="auto"/>
            <w:vAlign w:val="center"/>
          </w:tcPr>
          <w:p w14:paraId="321E43F1">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10</w:t>
            </w:r>
          </w:p>
        </w:tc>
        <w:tc>
          <w:tcPr>
            <w:tcW w:w="392" w:type="pct"/>
            <w:vMerge w:val="continue"/>
            <w:vAlign w:val="center"/>
          </w:tcPr>
          <w:p w14:paraId="75192C1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c>
          <w:tcPr>
            <w:tcW w:w="423" w:type="pct"/>
            <w:vMerge w:val="continue"/>
            <w:vAlign w:val="center"/>
          </w:tcPr>
          <w:p w14:paraId="27B3B8A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Arial"/>
                <w:color w:val="auto"/>
                <w:spacing w:val="0"/>
                <w:w w:val="100"/>
                <w:position w:val="0"/>
                <w:sz w:val="21"/>
                <w:highlight w:val="none"/>
              </w:rPr>
            </w:pPr>
          </w:p>
        </w:tc>
      </w:tr>
      <w:tr w14:paraId="7795C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83" w:type="pct"/>
            <w:shd w:val="clear" w:color="auto" w:fill="auto"/>
            <w:vAlign w:val="center"/>
          </w:tcPr>
          <w:p w14:paraId="1B07B3E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总和</w:t>
            </w:r>
          </w:p>
        </w:tc>
        <w:tc>
          <w:tcPr>
            <w:tcW w:w="559" w:type="pct"/>
            <w:shd w:val="clear" w:color="auto" w:fill="auto"/>
            <w:vAlign w:val="center"/>
          </w:tcPr>
          <w:p w14:paraId="7F0A5DB2">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w:t>
            </w:r>
          </w:p>
        </w:tc>
        <w:tc>
          <w:tcPr>
            <w:tcW w:w="644" w:type="pct"/>
            <w:shd w:val="clear" w:color="auto" w:fill="auto"/>
            <w:vAlign w:val="center"/>
          </w:tcPr>
          <w:p w14:paraId="2DCD8ED3">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w:t>
            </w:r>
          </w:p>
        </w:tc>
        <w:tc>
          <w:tcPr>
            <w:tcW w:w="480" w:type="pct"/>
            <w:shd w:val="clear" w:color="auto" w:fill="auto"/>
            <w:vAlign w:val="center"/>
          </w:tcPr>
          <w:p w14:paraId="50B5109F">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w:t>
            </w:r>
          </w:p>
        </w:tc>
        <w:tc>
          <w:tcPr>
            <w:tcW w:w="450" w:type="pct"/>
            <w:shd w:val="clear" w:color="auto" w:fill="auto"/>
            <w:vAlign w:val="center"/>
          </w:tcPr>
          <w:p w14:paraId="3E8A192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0</w:t>
            </w:r>
          </w:p>
        </w:tc>
        <w:tc>
          <w:tcPr>
            <w:tcW w:w="502" w:type="pct"/>
            <w:shd w:val="clear" w:color="auto" w:fill="auto"/>
            <w:vAlign w:val="center"/>
          </w:tcPr>
          <w:p w14:paraId="1A3275D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w:t>
            </w:r>
          </w:p>
        </w:tc>
        <w:tc>
          <w:tcPr>
            <w:tcW w:w="662" w:type="pct"/>
            <w:shd w:val="clear" w:color="auto" w:fill="auto"/>
            <w:vAlign w:val="center"/>
          </w:tcPr>
          <w:p w14:paraId="48D8FA4C">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w:t>
            </w:r>
          </w:p>
        </w:tc>
        <w:tc>
          <w:tcPr>
            <w:tcW w:w="392" w:type="pct"/>
            <w:shd w:val="clear" w:color="auto" w:fill="auto"/>
            <w:vAlign w:val="center"/>
          </w:tcPr>
          <w:p w14:paraId="114F9A1F">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w:t>
            </w:r>
          </w:p>
        </w:tc>
        <w:tc>
          <w:tcPr>
            <w:tcW w:w="423" w:type="pct"/>
            <w:shd w:val="clear" w:color="auto" w:fill="auto"/>
            <w:vAlign w:val="center"/>
          </w:tcPr>
          <w:p w14:paraId="3CBAB75D">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ascii="仿宋" w:hAnsi="仿宋" w:eastAsia="仿宋" w:cs="仿宋"/>
                <w:snapToGrid w:val="0"/>
                <w:color w:val="auto"/>
                <w:spacing w:val="0"/>
                <w:w w:val="100"/>
                <w:kern w:val="0"/>
                <w:position w:val="0"/>
                <w:sz w:val="21"/>
                <w:szCs w:val="21"/>
                <w:highlight w:val="none"/>
                <w:lang w:val="en-US" w:eastAsia="en-US" w:bidi="ar-SA"/>
              </w:rPr>
            </w:pPr>
            <w:r>
              <w:rPr>
                <w:rFonts w:ascii="仿宋" w:hAnsi="仿宋" w:eastAsia="仿宋" w:cs="仿宋"/>
                <w:color w:val="auto"/>
                <w:spacing w:val="0"/>
                <w:w w:val="100"/>
                <w:position w:val="0"/>
                <w:sz w:val="21"/>
                <w:szCs w:val="21"/>
                <w:highlight w:val="none"/>
              </w:rPr>
              <w:t>0</w:t>
            </w:r>
          </w:p>
        </w:tc>
      </w:tr>
    </w:tbl>
    <w:p w14:paraId="2FC0EB4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根据西山水库水源饮用水源保护区实际情况，按照上表对各评估指标分别进行评分，通过计算，固定环境风险值为：Rp为0。</w:t>
      </w:r>
    </w:p>
    <w:p w14:paraId="77B56AE3">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518" w:name="_Toc19978"/>
      <w:bookmarkStart w:id="519" w:name="_Toc24773"/>
      <w:r>
        <w:rPr>
          <w:rFonts w:ascii="仿宋" w:hAnsi="仿宋" w:eastAsia="仿宋" w:cs="仿宋"/>
          <w:b/>
          <w:bCs/>
          <w:color w:val="auto"/>
          <w:spacing w:val="0"/>
          <w:w w:val="100"/>
          <w:position w:val="0"/>
          <w:sz w:val="28"/>
          <w:szCs w:val="28"/>
          <w:highlight w:val="none"/>
        </w:rPr>
        <w:t>5.2.2流动风险源辨识</w:t>
      </w:r>
      <w:bookmarkEnd w:id="518"/>
      <w:bookmarkEnd w:id="519"/>
    </w:p>
    <w:p w14:paraId="1550F35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西山水库水源饮用水源保护区位于乌翠区境内，根据现场调查，西山水库水源饮用水源一级保护区、二级保护区、准保护区范围内主要是项目所在地乡镇道路</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鹤哈高速、G332国道等</w:t>
      </w:r>
      <w:r>
        <w:rPr>
          <w:rFonts w:ascii="仿宋" w:hAnsi="仿宋" w:eastAsia="仿宋" w:cs="仿宋"/>
          <w:color w:val="auto"/>
          <w:spacing w:val="0"/>
          <w:w w:val="100"/>
          <w:position w:val="0"/>
          <w:sz w:val="28"/>
          <w:szCs w:val="28"/>
          <w:highlight w:val="none"/>
        </w:rPr>
        <w:t>，根据对项目所在地的实际情况了解可知，项目所在地的乡镇道路不涉及危险化学品运输</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鹤哈高速与G332国道涉及危险化学品运输</w:t>
      </w:r>
      <w:r>
        <w:rPr>
          <w:rFonts w:ascii="仿宋" w:hAnsi="仿宋" w:eastAsia="仿宋" w:cs="仿宋"/>
          <w:color w:val="auto"/>
          <w:spacing w:val="0"/>
          <w:w w:val="100"/>
          <w:position w:val="0"/>
          <w:sz w:val="28"/>
          <w:szCs w:val="28"/>
          <w:highlight w:val="none"/>
        </w:rPr>
        <w:t>。</w:t>
      </w:r>
    </w:p>
    <w:p w14:paraId="1CE1515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参照《集中式饮用水水源环境保护指南（试行）》，分析潜在事件，筛选风险源。关于流动源评价指标及评分值见表5-2。</w:t>
      </w:r>
    </w:p>
    <w:p w14:paraId="19B40E1A">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表5-2流动源评价指标及评分值（R</w:t>
      </w:r>
      <w:r>
        <w:rPr>
          <w:rFonts w:ascii="仿宋" w:hAnsi="仿宋" w:eastAsia="仿宋" w:cs="仿宋"/>
          <w:b/>
          <w:bCs/>
          <w:color w:val="auto"/>
          <w:spacing w:val="0"/>
          <w:w w:val="100"/>
          <w:position w:val="0"/>
          <w:sz w:val="12"/>
          <w:szCs w:val="12"/>
          <w:highlight w:val="none"/>
        </w:rPr>
        <w:t>f</w:t>
      </w:r>
      <w:r>
        <w:rPr>
          <w:rFonts w:ascii="仿宋" w:hAnsi="仿宋" w:eastAsia="仿宋" w:cs="仿宋"/>
          <w:b/>
          <w:bCs/>
          <w:color w:val="auto"/>
          <w:spacing w:val="0"/>
          <w:w w:val="100"/>
          <w:position w:val="0"/>
          <w:sz w:val="24"/>
          <w:szCs w:val="24"/>
          <w:highlight w:val="none"/>
        </w:rPr>
        <w:t>）</w:t>
      </w:r>
    </w:p>
    <w:tbl>
      <w:tblPr>
        <w:tblStyle w:val="10"/>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5"/>
        <w:gridCol w:w="1092"/>
        <w:gridCol w:w="604"/>
        <w:gridCol w:w="656"/>
        <w:gridCol w:w="1419"/>
        <w:gridCol w:w="513"/>
        <w:gridCol w:w="513"/>
        <w:gridCol w:w="1499"/>
        <w:gridCol w:w="520"/>
        <w:gridCol w:w="521"/>
      </w:tblGrid>
      <w:tr w14:paraId="6121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985" w:type="dxa"/>
            <w:vMerge w:val="restart"/>
            <w:noWrap w:val="0"/>
            <w:vAlign w:val="center"/>
          </w:tcPr>
          <w:p w14:paraId="5EBBEC1C">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风险源</w:t>
            </w:r>
          </w:p>
        </w:tc>
        <w:tc>
          <w:tcPr>
            <w:tcW w:w="2352" w:type="dxa"/>
            <w:gridSpan w:val="3"/>
            <w:noWrap w:val="0"/>
            <w:vAlign w:val="center"/>
          </w:tcPr>
          <w:p w14:paraId="704D936F">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一级保护区</w:t>
            </w:r>
          </w:p>
        </w:tc>
        <w:tc>
          <w:tcPr>
            <w:tcW w:w="2445" w:type="dxa"/>
            <w:gridSpan w:val="3"/>
            <w:noWrap w:val="0"/>
            <w:vAlign w:val="center"/>
          </w:tcPr>
          <w:p w14:paraId="05E7A7E8">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二级保护区</w:t>
            </w:r>
          </w:p>
        </w:tc>
        <w:tc>
          <w:tcPr>
            <w:tcW w:w="2540" w:type="dxa"/>
            <w:gridSpan w:val="3"/>
            <w:noWrap w:val="0"/>
            <w:vAlign w:val="center"/>
          </w:tcPr>
          <w:p w14:paraId="2E170FBD">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准保护区</w:t>
            </w:r>
          </w:p>
        </w:tc>
      </w:tr>
      <w:tr w14:paraId="661C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985" w:type="dxa"/>
            <w:vMerge w:val="continue"/>
            <w:tcBorders>
              <w:bottom w:val="single" w:color="auto" w:sz="4" w:space="0"/>
            </w:tcBorders>
            <w:noWrap w:val="0"/>
            <w:vAlign w:val="center"/>
          </w:tcPr>
          <w:p w14:paraId="6A06CE37">
            <w:pPr>
              <w:spacing w:before="60" w:after="60" w:line="240" w:lineRule="auto"/>
              <w:ind w:firstLine="0" w:firstLineChars="0"/>
              <w:jc w:val="center"/>
              <w:rPr>
                <w:rFonts w:hint="eastAsia" w:ascii="仿宋" w:hAnsi="仿宋" w:eastAsia="仿宋" w:cs="仿宋"/>
                <w:b/>
                <w:bCs/>
                <w:color w:val="auto"/>
                <w:sz w:val="21"/>
                <w:szCs w:val="21"/>
                <w:highlight w:val="none"/>
              </w:rPr>
            </w:pPr>
          </w:p>
        </w:tc>
        <w:tc>
          <w:tcPr>
            <w:tcW w:w="1092" w:type="dxa"/>
            <w:tcBorders>
              <w:bottom w:val="single" w:color="auto" w:sz="4" w:space="0"/>
            </w:tcBorders>
            <w:noWrap w:val="0"/>
            <w:vAlign w:val="center"/>
          </w:tcPr>
          <w:p w14:paraId="39287CE8">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指标值</w:t>
            </w:r>
          </w:p>
        </w:tc>
        <w:tc>
          <w:tcPr>
            <w:tcW w:w="604" w:type="dxa"/>
            <w:tcBorders>
              <w:bottom w:val="single" w:color="auto" w:sz="4" w:space="0"/>
            </w:tcBorders>
            <w:noWrap w:val="0"/>
            <w:vAlign w:val="center"/>
          </w:tcPr>
          <w:p w14:paraId="74B0665A">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评分值（F</w:t>
            </w:r>
            <w:r>
              <w:rPr>
                <w:rFonts w:hint="eastAsia" w:ascii="仿宋" w:hAnsi="仿宋" w:eastAsia="仿宋" w:cs="仿宋"/>
                <w:b/>
                <w:bCs/>
                <w:color w:val="auto"/>
                <w:sz w:val="21"/>
                <w:szCs w:val="21"/>
                <w:highlight w:val="none"/>
                <w:vertAlign w:val="subscript"/>
              </w:rPr>
              <w:t>1</w:t>
            </w:r>
            <w:r>
              <w:rPr>
                <w:rFonts w:hint="eastAsia" w:ascii="仿宋" w:hAnsi="仿宋" w:eastAsia="仿宋" w:cs="仿宋"/>
                <w:b/>
                <w:bCs/>
                <w:color w:val="auto"/>
                <w:sz w:val="21"/>
                <w:szCs w:val="21"/>
                <w:highlight w:val="none"/>
              </w:rPr>
              <w:t>）</w:t>
            </w:r>
          </w:p>
        </w:tc>
        <w:tc>
          <w:tcPr>
            <w:tcW w:w="656" w:type="dxa"/>
            <w:tcBorders>
              <w:bottom w:val="single" w:color="auto" w:sz="4" w:space="0"/>
            </w:tcBorders>
            <w:noWrap w:val="0"/>
            <w:vAlign w:val="center"/>
          </w:tcPr>
          <w:p w14:paraId="1DC4F47F">
            <w:pPr>
              <w:spacing w:before="60" w:after="60" w:line="240" w:lineRule="auto"/>
              <w:ind w:firstLine="0" w:firstLineChars="0"/>
              <w:jc w:val="center"/>
              <w:rPr>
                <w:rFonts w:hint="default"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得分</w:t>
            </w:r>
          </w:p>
        </w:tc>
        <w:tc>
          <w:tcPr>
            <w:tcW w:w="1419" w:type="dxa"/>
            <w:tcBorders>
              <w:bottom w:val="single" w:color="auto" w:sz="4" w:space="0"/>
            </w:tcBorders>
            <w:noWrap w:val="0"/>
            <w:vAlign w:val="center"/>
          </w:tcPr>
          <w:p w14:paraId="74FA7456">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指标值</w:t>
            </w:r>
          </w:p>
        </w:tc>
        <w:tc>
          <w:tcPr>
            <w:tcW w:w="513" w:type="dxa"/>
            <w:tcBorders>
              <w:bottom w:val="single" w:color="auto" w:sz="4" w:space="0"/>
            </w:tcBorders>
            <w:noWrap w:val="0"/>
            <w:vAlign w:val="center"/>
          </w:tcPr>
          <w:p w14:paraId="7915C2BA">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评分值（F</w:t>
            </w:r>
            <w:r>
              <w:rPr>
                <w:rFonts w:hint="eastAsia" w:ascii="仿宋" w:hAnsi="仿宋" w:eastAsia="仿宋" w:cs="仿宋"/>
                <w:b/>
                <w:bCs/>
                <w:color w:val="auto"/>
                <w:sz w:val="21"/>
                <w:szCs w:val="21"/>
                <w:highlight w:val="none"/>
                <w:vertAlign w:val="subscript"/>
              </w:rPr>
              <w:t>2</w:t>
            </w:r>
            <w:r>
              <w:rPr>
                <w:rFonts w:hint="eastAsia" w:ascii="仿宋" w:hAnsi="仿宋" w:eastAsia="仿宋" w:cs="仿宋"/>
                <w:b/>
                <w:bCs/>
                <w:color w:val="auto"/>
                <w:sz w:val="21"/>
                <w:szCs w:val="21"/>
                <w:highlight w:val="none"/>
              </w:rPr>
              <w:t>）</w:t>
            </w:r>
          </w:p>
        </w:tc>
        <w:tc>
          <w:tcPr>
            <w:tcW w:w="513" w:type="dxa"/>
            <w:tcBorders>
              <w:bottom w:val="single" w:color="auto" w:sz="4" w:space="0"/>
            </w:tcBorders>
            <w:noWrap w:val="0"/>
            <w:vAlign w:val="center"/>
          </w:tcPr>
          <w:p w14:paraId="683CB9CC">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CN"/>
              </w:rPr>
              <w:t>得分</w:t>
            </w:r>
          </w:p>
        </w:tc>
        <w:tc>
          <w:tcPr>
            <w:tcW w:w="1499" w:type="dxa"/>
            <w:tcBorders>
              <w:bottom w:val="single" w:color="auto" w:sz="4" w:space="0"/>
            </w:tcBorders>
            <w:noWrap w:val="0"/>
            <w:vAlign w:val="center"/>
          </w:tcPr>
          <w:p w14:paraId="19EA2D03">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指标值</w:t>
            </w:r>
          </w:p>
        </w:tc>
        <w:tc>
          <w:tcPr>
            <w:tcW w:w="1041" w:type="dxa"/>
            <w:gridSpan w:val="2"/>
            <w:tcBorders>
              <w:bottom w:val="single" w:color="auto" w:sz="4" w:space="0"/>
            </w:tcBorders>
            <w:noWrap w:val="0"/>
            <w:vAlign w:val="center"/>
          </w:tcPr>
          <w:p w14:paraId="094836C2">
            <w:pPr>
              <w:spacing w:before="60" w:after="60" w:line="240" w:lineRule="auto"/>
              <w:ind w:firstLine="0" w:firstLineChars="0"/>
              <w:jc w:val="center"/>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评分值（F</w:t>
            </w:r>
            <w:r>
              <w:rPr>
                <w:rFonts w:hint="eastAsia" w:ascii="仿宋" w:hAnsi="仿宋" w:eastAsia="仿宋" w:cs="仿宋"/>
                <w:b/>
                <w:bCs/>
                <w:color w:val="auto"/>
                <w:sz w:val="21"/>
                <w:szCs w:val="21"/>
                <w:highlight w:val="none"/>
                <w:vertAlign w:val="subscript"/>
              </w:rPr>
              <w:t>3</w:t>
            </w:r>
            <w:r>
              <w:rPr>
                <w:rFonts w:hint="eastAsia" w:ascii="仿宋" w:hAnsi="仿宋" w:eastAsia="仿宋" w:cs="仿宋"/>
                <w:b/>
                <w:bCs/>
                <w:color w:val="auto"/>
                <w:sz w:val="21"/>
                <w:szCs w:val="21"/>
                <w:highlight w:val="none"/>
              </w:rPr>
              <w:t>）</w:t>
            </w:r>
          </w:p>
        </w:tc>
      </w:tr>
      <w:tr w14:paraId="3EE8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restart"/>
            <w:noWrap w:val="0"/>
            <w:vAlign w:val="center"/>
          </w:tcPr>
          <w:p w14:paraId="78FC3CDE">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陆运</w:t>
            </w:r>
          </w:p>
        </w:tc>
        <w:tc>
          <w:tcPr>
            <w:tcW w:w="1092" w:type="dxa"/>
            <w:vMerge w:val="restart"/>
            <w:noWrap w:val="0"/>
            <w:vAlign w:val="center"/>
          </w:tcPr>
          <w:p w14:paraId="68626AE7">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w:t>
            </w:r>
          </w:p>
          <w:p w14:paraId="66CF0EDA">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危险品</w:t>
            </w:r>
          </w:p>
          <w:p w14:paraId="16871EA7">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运输或L&gt;2r</w:t>
            </w:r>
            <w:r>
              <w:rPr>
                <w:rFonts w:hint="eastAsia" w:ascii="仿宋" w:hAnsi="仿宋" w:eastAsia="仿宋" w:cs="仿宋"/>
                <w:color w:val="auto"/>
                <w:sz w:val="21"/>
                <w:szCs w:val="21"/>
                <w:highlight w:val="none"/>
                <w:vertAlign w:val="subscript"/>
              </w:rPr>
              <w:t>d</w:t>
            </w:r>
          </w:p>
        </w:tc>
        <w:tc>
          <w:tcPr>
            <w:tcW w:w="604" w:type="dxa"/>
            <w:tcBorders>
              <w:bottom w:val="single" w:color="auto" w:sz="4" w:space="0"/>
            </w:tcBorders>
            <w:noWrap w:val="0"/>
            <w:vAlign w:val="center"/>
          </w:tcPr>
          <w:p w14:paraId="20F08CCF">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w:t>
            </w:r>
          </w:p>
        </w:tc>
        <w:tc>
          <w:tcPr>
            <w:tcW w:w="656" w:type="dxa"/>
            <w:vMerge w:val="restart"/>
            <w:noWrap w:val="0"/>
            <w:vAlign w:val="center"/>
          </w:tcPr>
          <w:p w14:paraId="2ECAF9D3">
            <w:pPr>
              <w:spacing w:before="60" w:after="60" w:line="240" w:lineRule="auto"/>
              <w:ind w:firstLine="0" w:firstLineChars="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0</w:t>
            </w:r>
          </w:p>
        </w:tc>
        <w:tc>
          <w:tcPr>
            <w:tcW w:w="1419" w:type="dxa"/>
            <w:tcBorders>
              <w:bottom w:val="single" w:color="auto" w:sz="4" w:space="0"/>
            </w:tcBorders>
            <w:noWrap w:val="0"/>
            <w:vAlign w:val="center"/>
          </w:tcPr>
          <w:p w14:paraId="1740CE98">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w:t>
            </w:r>
          </w:p>
        </w:tc>
        <w:tc>
          <w:tcPr>
            <w:tcW w:w="513" w:type="dxa"/>
            <w:tcBorders>
              <w:bottom w:val="single" w:color="auto" w:sz="4" w:space="0"/>
            </w:tcBorders>
            <w:noWrap w:val="0"/>
            <w:vAlign w:val="center"/>
          </w:tcPr>
          <w:p w14:paraId="1CB9D1D8">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w:t>
            </w:r>
          </w:p>
        </w:tc>
        <w:tc>
          <w:tcPr>
            <w:tcW w:w="513" w:type="dxa"/>
            <w:vMerge w:val="restart"/>
            <w:noWrap w:val="0"/>
            <w:vAlign w:val="center"/>
          </w:tcPr>
          <w:p w14:paraId="6A443F74">
            <w:pPr>
              <w:spacing w:before="60" w:after="60" w:line="240" w:lineRule="auto"/>
              <w:ind w:firstLine="0" w:firstLineChars="0"/>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9</w:t>
            </w:r>
          </w:p>
        </w:tc>
        <w:tc>
          <w:tcPr>
            <w:tcW w:w="1499" w:type="dxa"/>
            <w:tcBorders>
              <w:bottom w:val="single" w:color="auto" w:sz="4" w:space="0"/>
            </w:tcBorders>
            <w:noWrap w:val="0"/>
            <w:vAlign w:val="center"/>
          </w:tcPr>
          <w:p w14:paraId="0D92A51B">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w:t>
            </w:r>
          </w:p>
        </w:tc>
        <w:tc>
          <w:tcPr>
            <w:tcW w:w="520" w:type="dxa"/>
            <w:tcBorders>
              <w:bottom w:val="single" w:color="auto" w:sz="4" w:space="0"/>
            </w:tcBorders>
            <w:noWrap w:val="0"/>
            <w:vAlign w:val="center"/>
          </w:tcPr>
          <w:p w14:paraId="39A4B61F">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w:t>
            </w:r>
          </w:p>
        </w:tc>
        <w:tc>
          <w:tcPr>
            <w:tcW w:w="521" w:type="dxa"/>
            <w:vMerge w:val="restart"/>
            <w:noWrap w:val="0"/>
            <w:vAlign w:val="center"/>
          </w:tcPr>
          <w:p w14:paraId="0A3F6D4D">
            <w:pPr>
              <w:spacing w:before="60" w:after="60" w:line="240" w:lineRule="auto"/>
              <w:ind w:firstLine="0" w:firstLineChars="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w:t>
            </w:r>
          </w:p>
        </w:tc>
      </w:tr>
      <w:tr w14:paraId="5D30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noWrap w:val="0"/>
            <w:vAlign w:val="center"/>
          </w:tcPr>
          <w:p w14:paraId="562FD98C">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tcBorders>
              <w:bottom w:val="single" w:color="auto" w:sz="4" w:space="0"/>
            </w:tcBorders>
            <w:noWrap w:val="0"/>
            <w:vAlign w:val="center"/>
          </w:tcPr>
          <w:p w14:paraId="1A718944">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tcBorders>
              <w:top w:val="single" w:color="auto" w:sz="4" w:space="0"/>
              <w:bottom w:val="single" w:color="auto" w:sz="4" w:space="0"/>
            </w:tcBorders>
            <w:noWrap w:val="0"/>
            <w:vAlign w:val="center"/>
          </w:tcPr>
          <w:p w14:paraId="256DFC45">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656" w:type="dxa"/>
            <w:vMerge w:val="continue"/>
            <w:noWrap w:val="0"/>
            <w:vAlign w:val="center"/>
          </w:tcPr>
          <w:p w14:paraId="4D75836B">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32FADA4C">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有路仅可行走</w:t>
            </w:r>
          </w:p>
        </w:tc>
        <w:tc>
          <w:tcPr>
            <w:tcW w:w="513" w:type="dxa"/>
            <w:tcBorders>
              <w:top w:val="single" w:color="auto" w:sz="4" w:space="0"/>
              <w:bottom w:val="single" w:color="auto" w:sz="4" w:space="0"/>
            </w:tcBorders>
            <w:noWrap w:val="0"/>
            <w:vAlign w:val="center"/>
          </w:tcPr>
          <w:p w14:paraId="2D813C6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513" w:type="dxa"/>
            <w:vMerge w:val="continue"/>
            <w:noWrap w:val="0"/>
            <w:vAlign w:val="center"/>
          </w:tcPr>
          <w:p w14:paraId="11D082E3">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tcBorders>
              <w:top w:val="single" w:color="auto" w:sz="4" w:space="0"/>
              <w:bottom w:val="single" w:color="auto" w:sz="4" w:space="0"/>
            </w:tcBorders>
            <w:noWrap w:val="0"/>
            <w:vAlign w:val="center"/>
          </w:tcPr>
          <w:p w14:paraId="4246C015">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L&lt;2r</w:t>
            </w:r>
            <w:r>
              <w:rPr>
                <w:rFonts w:hint="eastAsia" w:ascii="仿宋" w:hAnsi="仿宋" w:eastAsia="仿宋" w:cs="仿宋"/>
                <w:color w:val="auto"/>
                <w:sz w:val="21"/>
                <w:szCs w:val="21"/>
                <w:highlight w:val="none"/>
                <w:vertAlign w:val="subscript"/>
              </w:rPr>
              <w:t>d</w:t>
            </w:r>
          </w:p>
        </w:tc>
        <w:tc>
          <w:tcPr>
            <w:tcW w:w="520" w:type="dxa"/>
            <w:tcBorders>
              <w:top w:val="single" w:color="auto" w:sz="4" w:space="0"/>
              <w:bottom w:val="single" w:color="auto" w:sz="4" w:space="0"/>
            </w:tcBorders>
            <w:noWrap w:val="0"/>
            <w:vAlign w:val="center"/>
          </w:tcPr>
          <w:p w14:paraId="5ECCF5EE">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521" w:type="dxa"/>
            <w:vMerge w:val="continue"/>
            <w:noWrap w:val="0"/>
            <w:vAlign w:val="center"/>
          </w:tcPr>
          <w:p w14:paraId="0C39CD6C">
            <w:pPr>
              <w:spacing w:before="60" w:after="60" w:line="240" w:lineRule="auto"/>
              <w:ind w:firstLine="0" w:firstLineChars="0"/>
              <w:jc w:val="center"/>
              <w:rPr>
                <w:rFonts w:hint="eastAsia" w:ascii="仿宋" w:hAnsi="仿宋" w:eastAsia="仿宋" w:cs="仿宋"/>
                <w:color w:val="auto"/>
                <w:sz w:val="21"/>
                <w:szCs w:val="21"/>
                <w:highlight w:val="none"/>
              </w:rPr>
            </w:pPr>
          </w:p>
        </w:tc>
      </w:tr>
      <w:tr w14:paraId="76F6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noWrap w:val="0"/>
            <w:vAlign w:val="center"/>
          </w:tcPr>
          <w:p w14:paraId="19EDABFF">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restart"/>
            <w:tcBorders>
              <w:top w:val="single" w:color="auto" w:sz="4" w:space="0"/>
            </w:tcBorders>
            <w:noWrap w:val="0"/>
            <w:vAlign w:val="center"/>
          </w:tcPr>
          <w:p w14:paraId="24ABF307">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L&lt;2r</w:t>
            </w:r>
            <w:r>
              <w:rPr>
                <w:rFonts w:hint="eastAsia" w:ascii="仿宋" w:hAnsi="仿宋" w:eastAsia="仿宋" w:cs="仿宋"/>
                <w:color w:val="auto"/>
                <w:sz w:val="21"/>
                <w:szCs w:val="21"/>
                <w:highlight w:val="none"/>
                <w:vertAlign w:val="subscript"/>
              </w:rPr>
              <w:t>d</w:t>
            </w:r>
          </w:p>
        </w:tc>
        <w:tc>
          <w:tcPr>
            <w:tcW w:w="604" w:type="dxa"/>
            <w:tcBorders>
              <w:top w:val="single" w:color="auto" w:sz="4" w:space="0"/>
            </w:tcBorders>
            <w:noWrap w:val="0"/>
            <w:vAlign w:val="center"/>
          </w:tcPr>
          <w:p w14:paraId="69CD88F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656" w:type="dxa"/>
            <w:vMerge w:val="continue"/>
            <w:noWrap w:val="0"/>
            <w:vAlign w:val="center"/>
          </w:tcPr>
          <w:p w14:paraId="4BC8817C">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11AE48F0">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有路但不能通行机动车</w:t>
            </w:r>
          </w:p>
        </w:tc>
        <w:tc>
          <w:tcPr>
            <w:tcW w:w="513" w:type="dxa"/>
            <w:tcBorders>
              <w:top w:val="single" w:color="auto" w:sz="4" w:space="0"/>
              <w:bottom w:val="single" w:color="auto" w:sz="4" w:space="0"/>
            </w:tcBorders>
            <w:noWrap w:val="0"/>
            <w:vAlign w:val="center"/>
          </w:tcPr>
          <w:p w14:paraId="487A2308">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513" w:type="dxa"/>
            <w:vMerge w:val="continue"/>
            <w:noWrap w:val="0"/>
            <w:vAlign w:val="center"/>
          </w:tcPr>
          <w:p w14:paraId="4F65A17C">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tcBorders>
              <w:top w:val="single" w:color="auto" w:sz="4" w:space="0"/>
              <w:bottom w:val="single" w:color="auto" w:sz="4" w:space="0"/>
            </w:tcBorders>
            <w:noWrap w:val="0"/>
            <w:vAlign w:val="center"/>
          </w:tcPr>
          <w:p w14:paraId="35EF7933">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有危险品运输且r</w:t>
            </w:r>
            <w:r>
              <w:rPr>
                <w:rFonts w:hint="eastAsia" w:ascii="仿宋" w:hAnsi="仿宋" w:eastAsia="仿宋" w:cs="仿宋"/>
                <w:color w:val="auto"/>
                <w:sz w:val="21"/>
                <w:szCs w:val="21"/>
                <w:highlight w:val="none"/>
                <w:vertAlign w:val="subscript"/>
              </w:rPr>
              <w:t>d</w:t>
            </w:r>
            <w:r>
              <w:rPr>
                <w:rFonts w:hint="eastAsia" w:ascii="仿宋" w:hAnsi="仿宋" w:eastAsia="仿宋" w:cs="仿宋"/>
                <w:color w:val="auto"/>
                <w:sz w:val="21"/>
                <w:szCs w:val="21"/>
                <w:highlight w:val="none"/>
              </w:rPr>
              <w:t>&lt;L&lt;2r</w:t>
            </w:r>
            <w:r>
              <w:rPr>
                <w:rFonts w:hint="eastAsia" w:ascii="仿宋" w:hAnsi="仿宋" w:eastAsia="仿宋" w:cs="仿宋"/>
                <w:color w:val="auto"/>
                <w:sz w:val="21"/>
                <w:szCs w:val="21"/>
                <w:highlight w:val="none"/>
                <w:vertAlign w:val="subscript"/>
              </w:rPr>
              <w:t>d</w:t>
            </w:r>
          </w:p>
        </w:tc>
        <w:tc>
          <w:tcPr>
            <w:tcW w:w="520" w:type="dxa"/>
            <w:tcBorders>
              <w:top w:val="single" w:color="auto" w:sz="4" w:space="0"/>
              <w:bottom w:val="single" w:color="auto" w:sz="4" w:space="0"/>
            </w:tcBorders>
            <w:noWrap w:val="0"/>
            <w:vAlign w:val="center"/>
          </w:tcPr>
          <w:p w14:paraId="51A8940D">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521" w:type="dxa"/>
            <w:vMerge w:val="continue"/>
            <w:noWrap w:val="0"/>
            <w:vAlign w:val="center"/>
          </w:tcPr>
          <w:p w14:paraId="73C948A8">
            <w:pPr>
              <w:spacing w:before="60" w:after="60" w:line="240" w:lineRule="auto"/>
              <w:ind w:firstLine="0" w:firstLineChars="0"/>
              <w:jc w:val="center"/>
              <w:rPr>
                <w:rFonts w:hint="eastAsia" w:ascii="仿宋" w:hAnsi="仿宋" w:eastAsia="仿宋" w:cs="仿宋"/>
                <w:color w:val="auto"/>
                <w:sz w:val="21"/>
                <w:szCs w:val="21"/>
                <w:highlight w:val="none"/>
              </w:rPr>
            </w:pPr>
          </w:p>
        </w:tc>
      </w:tr>
      <w:tr w14:paraId="3362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noWrap w:val="0"/>
            <w:vAlign w:val="center"/>
          </w:tcPr>
          <w:p w14:paraId="3732AA89">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noWrap w:val="0"/>
            <w:vAlign w:val="center"/>
          </w:tcPr>
          <w:p w14:paraId="64FC25E7">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noWrap w:val="0"/>
            <w:vAlign w:val="center"/>
          </w:tcPr>
          <w:p w14:paraId="53E9B8B6">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56" w:type="dxa"/>
            <w:vMerge w:val="continue"/>
            <w:noWrap w:val="0"/>
            <w:vAlign w:val="center"/>
          </w:tcPr>
          <w:p w14:paraId="23E1027F">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1A05F2CF">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有机动车通行</w:t>
            </w:r>
          </w:p>
        </w:tc>
        <w:tc>
          <w:tcPr>
            <w:tcW w:w="513" w:type="dxa"/>
            <w:tcBorders>
              <w:top w:val="single" w:color="auto" w:sz="4" w:space="0"/>
              <w:bottom w:val="single" w:color="auto" w:sz="4" w:space="0"/>
            </w:tcBorders>
            <w:noWrap w:val="0"/>
            <w:vAlign w:val="center"/>
          </w:tcPr>
          <w:p w14:paraId="1BE8F78E">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513" w:type="dxa"/>
            <w:vMerge w:val="continue"/>
            <w:noWrap w:val="0"/>
            <w:vAlign w:val="center"/>
          </w:tcPr>
          <w:p w14:paraId="223D5BFB">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vMerge w:val="restart"/>
            <w:tcBorders>
              <w:top w:val="single" w:color="auto" w:sz="4" w:space="0"/>
            </w:tcBorders>
            <w:noWrap w:val="0"/>
            <w:vAlign w:val="center"/>
          </w:tcPr>
          <w:p w14:paraId="3AD441D7">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有危险品运输且L&gt;2r</w:t>
            </w:r>
            <w:r>
              <w:rPr>
                <w:rFonts w:hint="eastAsia" w:ascii="仿宋" w:hAnsi="仿宋" w:eastAsia="仿宋" w:cs="仿宋"/>
                <w:color w:val="auto"/>
                <w:sz w:val="21"/>
                <w:szCs w:val="21"/>
                <w:highlight w:val="none"/>
                <w:vertAlign w:val="subscript"/>
              </w:rPr>
              <w:t>d</w:t>
            </w:r>
          </w:p>
        </w:tc>
        <w:tc>
          <w:tcPr>
            <w:tcW w:w="520" w:type="dxa"/>
            <w:tcBorders>
              <w:top w:val="single" w:color="auto" w:sz="4" w:space="0"/>
            </w:tcBorders>
            <w:noWrap w:val="0"/>
            <w:vAlign w:val="center"/>
          </w:tcPr>
          <w:p w14:paraId="0671DE3F">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521" w:type="dxa"/>
            <w:vMerge w:val="continue"/>
            <w:noWrap w:val="0"/>
            <w:vAlign w:val="center"/>
          </w:tcPr>
          <w:p w14:paraId="67489CCE">
            <w:pPr>
              <w:spacing w:before="60" w:after="60" w:line="240" w:lineRule="auto"/>
              <w:ind w:firstLine="0" w:firstLineChars="0"/>
              <w:jc w:val="center"/>
              <w:rPr>
                <w:rFonts w:hint="eastAsia" w:ascii="仿宋" w:hAnsi="仿宋" w:eastAsia="仿宋" w:cs="仿宋"/>
                <w:color w:val="auto"/>
                <w:sz w:val="21"/>
                <w:szCs w:val="21"/>
                <w:highlight w:val="none"/>
              </w:rPr>
            </w:pPr>
          </w:p>
        </w:tc>
      </w:tr>
      <w:tr w14:paraId="3BA9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noWrap w:val="0"/>
            <w:vAlign w:val="center"/>
          </w:tcPr>
          <w:p w14:paraId="73B79F51">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noWrap w:val="0"/>
            <w:vAlign w:val="center"/>
          </w:tcPr>
          <w:p w14:paraId="72B7D171">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noWrap w:val="0"/>
            <w:vAlign w:val="center"/>
          </w:tcPr>
          <w:p w14:paraId="681E6625">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56" w:type="dxa"/>
            <w:vMerge w:val="continue"/>
            <w:noWrap w:val="0"/>
            <w:vAlign w:val="center"/>
          </w:tcPr>
          <w:p w14:paraId="6494104C">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62C14B7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有运输路线且长度较短</w:t>
            </w:r>
          </w:p>
        </w:tc>
        <w:tc>
          <w:tcPr>
            <w:tcW w:w="513" w:type="dxa"/>
            <w:tcBorders>
              <w:top w:val="single" w:color="auto" w:sz="4" w:space="0"/>
              <w:bottom w:val="single" w:color="auto" w:sz="4" w:space="0"/>
            </w:tcBorders>
            <w:noWrap w:val="0"/>
            <w:vAlign w:val="center"/>
          </w:tcPr>
          <w:p w14:paraId="6F328337">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513" w:type="dxa"/>
            <w:vMerge w:val="continue"/>
            <w:noWrap w:val="0"/>
            <w:vAlign w:val="center"/>
          </w:tcPr>
          <w:p w14:paraId="13D74E21">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vMerge w:val="continue"/>
            <w:noWrap w:val="0"/>
            <w:vAlign w:val="center"/>
          </w:tcPr>
          <w:p w14:paraId="4E0A7FBC">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0" w:type="dxa"/>
            <w:noWrap w:val="0"/>
            <w:vAlign w:val="center"/>
          </w:tcPr>
          <w:p w14:paraId="257ACF37">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1" w:type="dxa"/>
            <w:vMerge w:val="continue"/>
            <w:noWrap w:val="0"/>
            <w:vAlign w:val="center"/>
          </w:tcPr>
          <w:p w14:paraId="5496E327">
            <w:pPr>
              <w:spacing w:before="60" w:after="60" w:line="240" w:lineRule="auto"/>
              <w:ind w:firstLine="0" w:firstLineChars="0"/>
              <w:jc w:val="center"/>
              <w:rPr>
                <w:rFonts w:hint="eastAsia" w:ascii="仿宋" w:hAnsi="仿宋" w:eastAsia="仿宋" w:cs="仿宋"/>
                <w:color w:val="auto"/>
                <w:sz w:val="21"/>
                <w:szCs w:val="21"/>
                <w:highlight w:val="none"/>
              </w:rPr>
            </w:pPr>
          </w:p>
        </w:tc>
      </w:tr>
      <w:tr w14:paraId="20C7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noWrap w:val="0"/>
            <w:vAlign w:val="center"/>
          </w:tcPr>
          <w:p w14:paraId="162F8FD1">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noWrap w:val="0"/>
            <w:vAlign w:val="center"/>
          </w:tcPr>
          <w:p w14:paraId="17443C8B">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noWrap w:val="0"/>
            <w:vAlign w:val="center"/>
          </w:tcPr>
          <w:p w14:paraId="0D77DF2D">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56" w:type="dxa"/>
            <w:vMerge w:val="continue"/>
            <w:noWrap w:val="0"/>
            <w:vAlign w:val="center"/>
          </w:tcPr>
          <w:p w14:paraId="2167A427">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3E65B5AD">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L&lt;r</w:t>
            </w:r>
            <w:r>
              <w:rPr>
                <w:rFonts w:hint="eastAsia" w:ascii="仿宋" w:hAnsi="仿宋" w:eastAsia="仿宋" w:cs="仿宋"/>
                <w:color w:val="auto"/>
                <w:sz w:val="21"/>
                <w:szCs w:val="21"/>
                <w:highlight w:val="none"/>
                <w:vertAlign w:val="subscript"/>
              </w:rPr>
              <w:t>d</w:t>
            </w:r>
          </w:p>
        </w:tc>
        <w:tc>
          <w:tcPr>
            <w:tcW w:w="513" w:type="dxa"/>
            <w:tcBorders>
              <w:top w:val="single" w:color="auto" w:sz="4" w:space="0"/>
              <w:bottom w:val="single" w:color="auto" w:sz="4" w:space="0"/>
            </w:tcBorders>
            <w:noWrap w:val="0"/>
            <w:vAlign w:val="center"/>
          </w:tcPr>
          <w:p w14:paraId="3E0CD83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513" w:type="dxa"/>
            <w:vMerge w:val="continue"/>
            <w:noWrap w:val="0"/>
            <w:vAlign w:val="center"/>
          </w:tcPr>
          <w:p w14:paraId="36F94C64">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vMerge w:val="continue"/>
            <w:noWrap w:val="0"/>
            <w:vAlign w:val="center"/>
          </w:tcPr>
          <w:p w14:paraId="4863B0D2">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0" w:type="dxa"/>
            <w:noWrap w:val="0"/>
            <w:vAlign w:val="center"/>
          </w:tcPr>
          <w:p w14:paraId="4AE8ED9A">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1" w:type="dxa"/>
            <w:vMerge w:val="continue"/>
            <w:noWrap w:val="0"/>
            <w:vAlign w:val="center"/>
          </w:tcPr>
          <w:p w14:paraId="7D9A4AB0">
            <w:pPr>
              <w:spacing w:before="60" w:after="60" w:line="240" w:lineRule="auto"/>
              <w:ind w:firstLine="0" w:firstLineChars="0"/>
              <w:jc w:val="center"/>
              <w:rPr>
                <w:rFonts w:hint="eastAsia" w:ascii="仿宋" w:hAnsi="仿宋" w:eastAsia="仿宋" w:cs="仿宋"/>
                <w:color w:val="auto"/>
                <w:sz w:val="21"/>
                <w:szCs w:val="21"/>
                <w:highlight w:val="none"/>
              </w:rPr>
            </w:pPr>
          </w:p>
        </w:tc>
      </w:tr>
      <w:tr w14:paraId="5B52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tcBorders>
              <w:bottom w:val="single" w:color="auto" w:sz="4" w:space="0"/>
            </w:tcBorders>
            <w:noWrap w:val="0"/>
            <w:vAlign w:val="center"/>
          </w:tcPr>
          <w:p w14:paraId="13BECC93">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noWrap w:val="0"/>
            <w:vAlign w:val="center"/>
          </w:tcPr>
          <w:p w14:paraId="2482D7C7">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noWrap w:val="0"/>
            <w:vAlign w:val="center"/>
          </w:tcPr>
          <w:p w14:paraId="7D7A9743">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56" w:type="dxa"/>
            <w:vMerge w:val="continue"/>
            <w:noWrap w:val="0"/>
            <w:vAlign w:val="center"/>
          </w:tcPr>
          <w:p w14:paraId="744409A2">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75699ED7">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r</w:t>
            </w:r>
            <w:r>
              <w:rPr>
                <w:rFonts w:hint="eastAsia" w:ascii="仿宋" w:hAnsi="仿宋" w:eastAsia="仿宋" w:cs="仿宋"/>
                <w:color w:val="auto"/>
                <w:sz w:val="21"/>
                <w:szCs w:val="21"/>
                <w:highlight w:val="none"/>
                <w:vertAlign w:val="subscript"/>
              </w:rPr>
              <w:t>d</w:t>
            </w:r>
            <w:r>
              <w:rPr>
                <w:rFonts w:hint="eastAsia" w:ascii="仿宋" w:hAnsi="仿宋" w:eastAsia="仿宋" w:cs="仿宋"/>
                <w:color w:val="auto"/>
                <w:sz w:val="21"/>
                <w:szCs w:val="21"/>
                <w:highlight w:val="none"/>
              </w:rPr>
              <w:t>&lt;L&lt;2r</w:t>
            </w:r>
            <w:r>
              <w:rPr>
                <w:rFonts w:hint="eastAsia" w:ascii="仿宋" w:hAnsi="仿宋" w:eastAsia="仿宋" w:cs="仿宋"/>
                <w:color w:val="auto"/>
                <w:sz w:val="21"/>
                <w:szCs w:val="21"/>
                <w:highlight w:val="none"/>
                <w:vertAlign w:val="subscript"/>
              </w:rPr>
              <w:t>d</w:t>
            </w:r>
            <w:r>
              <w:rPr>
                <w:rFonts w:hint="eastAsia" w:ascii="仿宋" w:hAnsi="仿宋" w:eastAsia="仿宋" w:cs="仿宋"/>
                <w:color w:val="auto"/>
                <w:sz w:val="21"/>
                <w:szCs w:val="21"/>
                <w:highlight w:val="none"/>
              </w:rPr>
              <w:t>；或有小型桥梁</w:t>
            </w:r>
          </w:p>
        </w:tc>
        <w:tc>
          <w:tcPr>
            <w:tcW w:w="513" w:type="dxa"/>
            <w:tcBorders>
              <w:top w:val="single" w:color="auto" w:sz="4" w:space="0"/>
              <w:bottom w:val="single" w:color="auto" w:sz="4" w:space="0"/>
            </w:tcBorders>
            <w:noWrap w:val="0"/>
            <w:vAlign w:val="center"/>
          </w:tcPr>
          <w:p w14:paraId="15ABCC3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513" w:type="dxa"/>
            <w:vMerge w:val="continue"/>
            <w:noWrap w:val="0"/>
            <w:vAlign w:val="center"/>
          </w:tcPr>
          <w:p w14:paraId="582E81E2">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vMerge w:val="continue"/>
            <w:noWrap w:val="0"/>
            <w:vAlign w:val="center"/>
          </w:tcPr>
          <w:p w14:paraId="09C4E3D3">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0" w:type="dxa"/>
            <w:noWrap w:val="0"/>
            <w:vAlign w:val="center"/>
          </w:tcPr>
          <w:p w14:paraId="39EB1559">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1" w:type="dxa"/>
            <w:vMerge w:val="continue"/>
            <w:noWrap w:val="0"/>
            <w:vAlign w:val="center"/>
          </w:tcPr>
          <w:p w14:paraId="65EBBC31">
            <w:pPr>
              <w:spacing w:before="60" w:after="60" w:line="240" w:lineRule="auto"/>
              <w:ind w:firstLine="0" w:firstLineChars="0"/>
              <w:jc w:val="center"/>
              <w:rPr>
                <w:rFonts w:hint="eastAsia" w:ascii="仿宋" w:hAnsi="仿宋" w:eastAsia="仿宋" w:cs="仿宋"/>
                <w:color w:val="auto"/>
                <w:sz w:val="21"/>
                <w:szCs w:val="21"/>
                <w:highlight w:val="none"/>
              </w:rPr>
            </w:pPr>
          </w:p>
        </w:tc>
      </w:tr>
      <w:tr w14:paraId="2275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tcBorders>
              <w:top w:val="single" w:color="auto" w:sz="4" w:space="0"/>
            </w:tcBorders>
            <w:noWrap w:val="0"/>
            <w:vAlign w:val="center"/>
          </w:tcPr>
          <w:p w14:paraId="49FBFCF4">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noWrap w:val="0"/>
            <w:vAlign w:val="center"/>
          </w:tcPr>
          <w:p w14:paraId="326F8E47">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noWrap w:val="0"/>
            <w:vAlign w:val="center"/>
          </w:tcPr>
          <w:p w14:paraId="26C62B5E">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56" w:type="dxa"/>
            <w:vMerge w:val="continue"/>
            <w:noWrap w:val="0"/>
            <w:vAlign w:val="center"/>
          </w:tcPr>
          <w:p w14:paraId="11E9F3E6">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594A022B">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L&gt;2r</w:t>
            </w:r>
            <w:r>
              <w:rPr>
                <w:rFonts w:hint="eastAsia" w:ascii="仿宋" w:hAnsi="仿宋" w:eastAsia="仿宋" w:cs="仿宋"/>
                <w:color w:val="auto"/>
                <w:sz w:val="21"/>
                <w:szCs w:val="21"/>
                <w:highlight w:val="none"/>
                <w:vertAlign w:val="subscript"/>
              </w:rPr>
              <w:t>d</w:t>
            </w:r>
          </w:p>
        </w:tc>
        <w:tc>
          <w:tcPr>
            <w:tcW w:w="513" w:type="dxa"/>
            <w:tcBorders>
              <w:top w:val="single" w:color="auto" w:sz="4" w:space="0"/>
              <w:bottom w:val="single" w:color="auto" w:sz="4" w:space="0"/>
            </w:tcBorders>
            <w:noWrap w:val="0"/>
            <w:vAlign w:val="center"/>
          </w:tcPr>
          <w:p w14:paraId="674EC6A1">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513" w:type="dxa"/>
            <w:vMerge w:val="continue"/>
            <w:noWrap w:val="0"/>
            <w:vAlign w:val="center"/>
          </w:tcPr>
          <w:p w14:paraId="2E2D58CE">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vMerge w:val="continue"/>
            <w:noWrap w:val="0"/>
            <w:vAlign w:val="center"/>
          </w:tcPr>
          <w:p w14:paraId="26C4DC61">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0" w:type="dxa"/>
            <w:noWrap w:val="0"/>
            <w:vAlign w:val="center"/>
          </w:tcPr>
          <w:p w14:paraId="28A64684">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1" w:type="dxa"/>
            <w:vMerge w:val="continue"/>
            <w:noWrap w:val="0"/>
            <w:vAlign w:val="center"/>
          </w:tcPr>
          <w:p w14:paraId="209C5FD3">
            <w:pPr>
              <w:spacing w:before="60" w:after="60" w:line="240" w:lineRule="auto"/>
              <w:ind w:firstLine="0" w:firstLineChars="0"/>
              <w:jc w:val="center"/>
              <w:rPr>
                <w:rFonts w:hint="eastAsia" w:ascii="仿宋" w:hAnsi="仿宋" w:eastAsia="仿宋" w:cs="仿宋"/>
                <w:color w:val="auto"/>
                <w:sz w:val="21"/>
                <w:szCs w:val="21"/>
                <w:highlight w:val="none"/>
              </w:rPr>
            </w:pPr>
          </w:p>
        </w:tc>
      </w:tr>
      <w:tr w14:paraId="3B53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tcBorders>
              <w:bottom w:val="single" w:color="auto" w:sz="4" w:space="0"/>
            </w:tcBorders>
            <w:noWrap w:val="0"/>
            <w:vAlign w:val="center"/>
          </w:tcPr>
          <w:p w14:paraId="0F94AF4E">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noWrap w:val="0"/>
            <w:vAlign w:val="center"/>
          </w:tcPr>
          <w:p w14:paraId="52CCA162">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noWrap w:val="0"/>
            <w:vAlign w:val="center"/>
          </w:tcPr>
          <w:p w14:paraId="2DE9331B">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56" w:type="dxa"/>
            <w:vMerge w:val="continue"/>
            <w:noWrap w:val="0"/>
            <w:vAlign w:val="center"/>
          </w:tcPr>
          <w:p w14:paraId="3E20C06B">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1B594798">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有危险品运输；或有单车道跨线桥</w:t>
            </w:r>
          </w:p>
        </w:tc>
        <w:tc>
          <w:tcPr>
            <w:tcW w:w="513" w:type="dxa"/>
            <w:tcBorders>
              <w:top w:val="single" w:color="auto" w:sz="4" w:space="0"/>
              <w:bottom w:val="single" w:color="auto" w:sz="4" w:space="0"/>
            </w:tcBorders>
            <w:noWrap w:val="0"/>
            <w:vAlign w:val="center"/>
          </w:tcPr>
          <w:p w14:paraId="5C49947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513" w:type="dxa"/>
            <w:vMerge w:val="continue"/>
            <w:noWrap w:val="0"/>
            <w:vAlign w:val="center"/>
          </w:tcPr>
          <w:p w14:paraId="7589604A">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vMerge w:val="continue"/>
            <w:noWrap w:val="0"/>
            <w:vAlign w:val="center"/>
          </w:tcPr>
          <w:p w14:paraId="181D42AF">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0" w:type="dxa"/>
            <w:noWrap w:val="0"/>
            <w:vAlign w:val="center"/>
          </w:tcPr>
          <w:p w14:paraId="035C9B43">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1" w:type="dxa"/>
            <w:vMerge w:val="continue"/>
            <w:noWrap w:val="0"/>
            <w:vAlign w:val="center"/>
          </w:tcPr>
          <w:p w14:paraId="3D6124E5">
            <w:pPr>
              <w:spacing w:before="60" w:after="60" w:line="240" w:lineRule="auto"/>
              <w:ind w:firstLine="0" w:firstLineChars="0"/>
              <w:jc w:val="center"/>
              <w:rPr>
                <w:rFonts w:hint="eastAsia" w:ascii="仿宋" w:hAnsi="仿宋" w:eastAsia="仿宋" w:cs="仿宋"/>
                <w:color w:val="auto"/>
                <w:sz w:val="21"/>
                <w:szCs w:val="21"/>
                <w:highlight w:val="none"/>
              </w:rPr>
            </w:pPr>
          </w:p>
        </w:tc>
      </w:tr>
      <w:tr w14:paraId="31CC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tcBorders>
              <w:top w:val="single" w:color="auto" w:sz="4" w:space="0"/>
            </w:tcBorders>
            <w:noWrap w:val="0"/>
            <w:vAlign w:val="center"/>
          </w:tcPr>
          <w:p w14:paraId="371524C3">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noWrap w:val="0"/>
            <w:vAlign w:val="center"/>
          </w:tcPr>
          <w:p w14:paraId="2658FF9A">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noWrap w:val="0"/>
            <w:vAlign w:val="center"/>
          </w:tcPr>
          <w:p w14:paraId="59927A13">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56" w:type="dxa"/>
            <w:vMerge w:val="continue"/>
            <w:noWrap w:val="0"/>
            <w:vAlign w:val="center"/>
          </w:tcPr>
          <w:p w14:paraId="45B0EF66">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bottom w:val="single" w:color="auto" w:sz="4" w:space="0"/>
            </w:tcBorders>
            <w:noWrap w:val="0"/>
            <w:vAlign w:val="center"/>
          </w:tcPr>
          <w:p w14:paraId="399867A6">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有危险品运输且r</w:t>
            </w:r>
            <w:r>
              <w:rPr>
                <w:rFonts w:hint="eastAsia" w:ascii="仿宋" w:hAnsi="仿宋" w:eastAsia="仿宋" w:cs="仿宋"/>
                <w:color w:val="auto"/>
                <w:sz w:val="21"/>
                <w:szCs w:val="21"/>
                <w:highlight w:val="none"/>
                <w:vertAlign w:val="subscript"/>
              </w:rPr>
              <w:t>d</w:t>
            </w:r>
            <w:r>
              <w:rPr>
                <w:rFonts w:hint="eastAsia" w:ascii="仿宋" w:hAnsi="仿宋" w:eastAsia="仿宋" w:cs="仿宋"/>
                <w:color w:val="auto"/>
                <w:sz w:val="21"/>
                <w:szCs w:val="21"/>
                <w:highlight w:val="none"/>
              </w:rPr>
              <w:t>&lt;L&lt;2r</w:t>
            </w:r>
            <w:r>
              <w:rPr>
                <w:rFonts w:hint="eastAsia" w:ascii="仿宋" w:hAnsi="仿宋" w:eastAsia="仿宋" w:cs="仿宋"/>
                <w:color w:val="auto"/>
                <w:sz w:val="21"/>
                <w:szCs w:val="21"/>
                <w:highlight w:val="none"/>
                <w:vertAlign w:val="subscript"/>
              </w:rPr>
              <w:t>d</w:t>
            </w:r>
          </w:p>
        </w:tc>
        <w:tc>
          <w:tcPr>
            <w:tcW w:w="513" w:type="dxa"/>
            <w:tcBorders>
              <w:top w:val="single" w:color="auto" w:sz="4" w:space="0"/>
              <w:bottom w:val="single" w:color="auto" w:sz="4" w:space="0"/>
            </w:tcBorders>
            <w:noWrap w:val="0"/>
            <w:vAlign w:val="center"/>
          </w:tcPr>
          <w:p w14:paraId="523A589C">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513" w:type="dxa"/>
            <w:vMerge w:val="continue"/>
            <w:noWrap w:val="0"/>
            <w:vAlign w:val="center"/>
          </w:tcPr>
          <w:p w14:paraId="1600B485">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vMerge w:val="continue"/>
            <w:noWrap w:val="0"/>
            <w:vAlign w:val="center"/>
          </w:tcPr>
          <w:p w14:paraId="520DB927">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0" w:type="dxa"/>
            <w:noWrap w:val="0"/>
            <w:vAlign w:val="center"/>
          </w:tcPr>
          <w:p w14:paraId="4CB49895">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1" w:type="dxa"/>
            <w:vMerge w:val="continue"/>
            <w:noWrap w:val="0"/>
            <w:vAlign w:val="center"/>
          </w:tcPr>
          <w:p w14:paraId="6B8E3B44">
            <w:pPr>
              <w:spacing w:before="60" w:after="60" w:line="240" w:lineRule="auto"/>
              <w:ind w:firstLine="0" w:firstLineChars="0"/>
              <w:jc w:val="center"/>
              <w:rPr>
                <w:rFonts w:hint="eastAsia" w:ascii="仿宋" w:hAnsi="仿宋" w:eastAsia="仿宋" w:cs="仿宋"/>
                <w:color w:val="auto"/>
                <w:sz w:val="21"/>
                <w:szCs w:val="21"/>
                <w:highlight w:val="none"/>
              </w:rPr>
            </w:pPr>
          </w:p>
        </w:tc>
      </w:tr>
      <w:tr w14:paraId="2A68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vMerge w:val="continue"/>
            <w:noWrap w:val="0"/>
            <w:vAlign w:val="center"/>
          </w:tcPr>
          <w:p w14:paraId="2EDCD782">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092" w:type="dxa"/>
            <w:vMerge w:val="continue"/>
            <w:noWrap w:val="0"/>
            <w:vAlign w:val="center"/>
          </w:tcPr>
          <w:p w14:paraId="34896E6A">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04" w:type="dxa"/>
            <w:noWrap w:val="0"/>
            <w:vAlign w:val="center"/>
          </w:tcPr>
          <w:p w14:paraId="549739BA">
            <w:pPr>
              <w:spacing w:before="60" w:after="60" w:line="240" w:lineRule="auto"/>
              <w:ind w:firstLine="0" w:firstLineChars="0"/>
              <w:jc w:val="center"/>
              <w:rPr>
                <w:rFonts w:hint="eastAsia" w:ascii="仿宋" w:hAnsi="仿宋" w:eastAsia="仿宋" w:cs="仿宋"/>
                <w:color w:val="auto"/>
                <w:sz w:val="21"/>
                <w:szCs w:val="21"/>
                <w:highlight w:val="none"/>
              </w:rPr>
            </w:pPr>
          </w:p>
        </w:tc>
        <w:tc>
          <w:tcPr>
            <w:tcW w:w="656" w:type="dxa"/>
            <w:vMerge w:val="continue"/>
            <w:noWrap w:val="0"/>
            <w:vAlign w:val="center"/>
          </w:tcPr>
          <w:p w14:paraId="6100F19F">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tcBorders>
              <w:top w:val="single" w:color="auto" w:sz="4" w:space="0"/>
            </w:tcBorders>
            <w:noWrap w:val="0"/>
            <w:vAlign w:val="center"/>
          </w:tcPr>
          <w:p w14:paraId="29875F21">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有危险品运输且L&gt;2r</w:t>
            </w:r>
            <w:r>
              <w:rPr>
                <w:rFonts w:hint="eastAsia" w:ascii="仿宋" w:hAnsi="仿宋" w:eastAsia="仿宋" w:cs="仿宋"/>
                <w:color w:val="auto"/>
                <w:sz w:val="21"/>
                <w:szCs w:val="21"/>
                <w:highlight w:val="none"/>
                <w:vertAlign w:val="subscript"/>
              </w:rPr>
              <w:t>d</w:t>
            </w:r>
          </w:p>
        </w:tc>
        <w:tc>
          <w:tcPr>
            <w:tcW w:w="513" w:type="dxa"/>
            <w:tcBorders>
              <w:top w:val="single" w:color="auto" w:sz="4" w:space="0"/>
            </w:tcBorders>
            <w:noWrap w:val="0"/>
            <w:vAlign w:val="center"/>
          </w:tcPr>
          <w:p w14:paraId="36E57225">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513" w:type="dxa"/>
            <w:vMerge w:val="continue"/>
            <w:noWrap w:val="0"/>
            <w:vAlign w:val="center"/>
          </w:tcPr>
          <w:p w14:paraId="1F28E8C7">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vMerge w:val="continue"/>
            <w:noWrap w:val="0"/>
            <w:vAlign w:val="center"/>
          </w:tcPr>
          <w:p w14:paraId="78A5B54C">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0" w:type="dxa"/>
            <w:noWrap w:val="0"/>
            <w:vAlign w:val="center"/>
          </w:tcPr>
          <w:p w14:paraId="1F0CB272">
            <w:pPr>
              <w:spacing w:before="60" w:after="60" w:line="240" w:lineRule="auto"/>
              <w:ind w:firstLine="0" w:firstLineChars="0"/>
              <w:jc w:val="center"/>
              <w:rPr>
                <w:rFonts w:hint="eastAsia" w:ascii="仿宋" w:hAnsi="仿宋" w:eastAsia="仿宋" w:cs="仿宋"/>
                <w:color w:val="auto"/>
                <w:sz w:val="21"/>
                <w:szCs w:val="21"/>
                <w:highlight w:val="none"/>
              </w:rPr>
            </w:pPr>
          </w:p>
        </w:tc>
        <w:tc>
          <w:tcPr>
            <w:tcW w:w="521" w:type="dxa"/>
            <w:vMerge w:val="continue"/>
            <w:noWrap w:val="0"/>
            <w:vAlign w:val="center"/>
          </w:tcPr>
          <w:p w14:paraId="2EF152F9">
            <w:pPr>
              <w:spacing w:before="60" w:after="60" w:line="240" w:lineRule="auto"/>
              <w:ind w:firstLine="0" w:firstLineChars="0"/>
              <w:jc w:val="center"/>
              <w:rPr>
                <w:rFonts w:hint="eastAsia" w:ascii="仿宋" w:hAnsi="仿宋" w:eastAsia="仿宋" w:cs="仿宋"/>
                <w:color w:val="auto"/>
                <w:sz w:val="21"/>
                <w:szCs w:val="21"/>
                <w:highlight w:val="none"/>
              </w:rPr>
            </w:pPr>
          </w:p>
        </w:tc>
      </w:tr>
      <w:tr w14:paraId="42BD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985" w:type="dxa"/>
            <w:noWrap w:val="0"/>
            <w:vAlign w:val="center"/>
          </w:tcPr>
          <w:p w14:paraId="5878FFC6">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船舶</w:t>
            </w:r>
          </w:p>
        </w:tc>
        <w:tc>
          <w:tcPr>
            <w:tcW w:w="1092" w:type="dxa"/>
            <w:noWrap w:val="0"/>
            <w:vAlign w:val="center"/>
          </w:tcPr>
          <w:p w14:paraId="047429D2">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w:t>
            </w:r>
          </w:p>
          <w:p w14:paraId="5B783D36">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存在</w:t>
            </w:r>
          </w:p>
        </w:tc>
        <w:tc>
          <w:tcPr>
            <w:tcW w:w="604" w:type="dxa"/>
            <w:noWrap w:val="0"/>
            <w:vAlign w:val="center"/>
          </w:tcPr>
          <w:p w14:paraId="431B4EA7">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w:t>
            </w:r>
          </w:p>
          <w:p w14:paraId="2B4E127B">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656" w:type="dxa"/>
            <w:vMerge w:val="continue"/>
            <w:noWrap w:val="0"/>
            <w:vAlign w:val="center"/>
          </w:tcPr>
          <w:p w14:paraId="620AFE91">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19" w:type="dxa"/>
            <w:noWrap w:val="0"/>
            <w:vAlign w:val="center"/>
          </w:tcPr>
          <w:p w14:paraId="22DC4611">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w:t>
            </w:r>
          </w:p>
          <w:p w14:paraId="78CE417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航线L&lt;r</w:t>
            </w:r>
            <w:r>
              <w:rPr>
                <w:rFonts w:hint="eastAsia" w:ascii="仿宋" w:hAnsi="仿宋" w:eastAsia="仿宋" w:cs="仿宋"/>
                <w:color w:val="auto"/>
                <w:sz w:val="21"/>
                <w:szCs w:val="21"/>
                <w:highlight w:val="none"/>
                <w:vertAlign w:val="subscript"/>
              </w:rPr>
              <w:t>d</w:t>
            </w:r>
          </w:p>
          <w:p w14:paraId="03AF8A4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航线r</w:t>
            </w:r>
            <w:r>
              <w:rPr>
                <w:rFonts w:hint="eastAsia" w:ascii="仿宋" w:hAnsi="仿宋" w:eastAsia="仿宋" w:cs="仿宋"/>
                <w:color w:val="auto"/>
                <w:sz w:val="21"/>
                <w:szCs w:val="21"/>
                <w:highlight w:val="none"/>
                <w:vertAlign w:val="subscript"/>
              </w:rPr>
              <w:t>d</w:t>
            </w:r>
            <w:r>
              <w:rPr>
                <w:rFonts w:hint="eastAsia" w:ascii="仿宋" w:hAnsi="仿宋" w:eastAsia="仿宋" w:cs="仿宋"/>
                <w:color w:val="auto"/>
                <w:sz w:val="21"/>
                <w:szCs w:val="21"/>
                <w:highlight w:val="none"/>
              </w:rPr>
              <w:t>&lt;L&lt;2r</w:t>
            </w:r>
            <w:r>
              <w:rPr>
                <w:rFonts w:hint="eastAsia" w:ascii="仿宋" w:hAnsi="仿宋" w:eastAsia="仿宋" w:cs="仿宋"/>
                <w:color w:val="auto"/>
                <w:sz w:val="21"/>
                <w:szCs w:val="21"/>
                <w:highlight w:val="none"/>
                <w:vertAlign w:val="subscript"/>
              </w:rPr>
              <w:t>d</w:t>
            </w:r>
          </w:p>
          <w:p w14:paraId="631C0DC6">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航线L&gt;2r</w:t>
            </w:r>
            <w:r>
              <w:rPr>
                <w:rFonts w:hint="eastAsia" w:ascii="仿宋" w:hAnsi="仿宋" w:eastAsia="仿宋" w:cs="仿宋"/>
                <w:color w:val="auto"/>
                <w:sz w:val="21"/>
                <w:szCs w:val="21"/>
                <w:highlight w:val="none"/>
                <w:vertAlign w:val="subscript"/>
              </w:rPr>
              <w:t>d</w:t>
            </w:r>
          </w:p>
        </w:tc>
        <w:tc>
          <w:tcPr>
            <w:tcW w:w="513" w:type="dxa"/>
            <w:noWrap w:val="0"/>
            <w:vAlign w:val="center"/>
          </w:tcPr>
          <w:p w14:paraId="6878F19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w:t>
            </w:r>
          </w:p>
          <w:p w14:paraId="4BF1984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p w14:paraId="368303E8">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p w14:paraId="4142CF3D">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513" w:type="dxa"/>
            <w:vMerge w:val="continue"/>
            <w:noWrap w:val="0"/>
            <w:vAlign w:val="center"/>
          </w:tcPr>
          <w:p w14:paraId="3CB28F8C">
            <w:pPr>
              <w:spacing w:before="60" w:after="60" w:line="240" w:lineRule="auto"/>
              <w:ind w:firstLine="0" w:firstLineChars="0"/>
              <w:jc w:val="center"/>
              <w:rPr>
                <w:rFonts w:hint="eastAsia" w:ascii="仿宋" w:hAnsi="仿宋" w:eastAsia="仿宋" w:cs="仿宋"/>
                <w:color w:val="auto"/>
                <w:sz w:val="21"/>
                <w:szCs w:val="21"/>
                <w:highlight w:val="none"/>
              </w:rPr>
            </w:pPr>
          </w:p>
        </w:tc>
        <w:tc>
          <w:tcPr>
            <w:tcW w:w="1499" w:type="dxa"/>
            <w:noWrap w:val="0"/>
            <w:vAlign w:val="center"/>
          </w:tcPr>
          <w:p w14:paraId="7C878E29">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w:t>
            </w:r>
          </w:p>
          <w:p w14:paraId="0DD53940">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航线L&lt;r</w:t>
            </w:r>
            <w:r>
              <w:rPr>
                <w:rFonts w:hint="eastAsia" w:ascii="仿宋" w:hAnsi="仿宋" w:eastAsia="仿宋" w:cs="仿宋"/>
                <w:color w:val="auto"/>
                <w:sz w:val="21"/>
                <w:szCs w:val="21"/>
                <w:highlight w:val="none"/>
                <w:vertAlign w:val="subscript"/>
              </w:rPr>
              <w:t>d</w:t>
            </w:r>
          </w:p>
          <w:p w14:paraId="1F8E570C">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航线r</w:t>
            </w:r>
            <w:r>
              <w:rPr>
                <w:rFonts w:hint="eastAsia" w:ascii="仿宋" w:hAnsi="仿宋" w:eastAsia="仿宋" w:cs="仿宋"/>
                <w:color w:val="auto"/>
                <w:sz w:val="21"/>
                <w:szCs w:val="21"/>
                <w:highlight w:val="none"/>
                <w:vertAlign w:val="subscript"/>
              </w:rPr>
              <w:t>d</w:t>
            </w:r>
            <w:r>
              <w:rPr>
                <w:rFonts w:hint="eastAsia" w:ascii="仿宋" w:hAnsi="仿宋" w:eastAsia="仿宋" w:cs="仿宋"/>
                <w:color w:val="auto"/>
                <w:sz w:val="21"/>
                <w:szCs w:val="21"/>
                <w:highlight w:val="none"/>
              </w:rPr>
              <w:t>&lt;L&lt;2r</w:t>
            </w:r>
            <w:r>
              <w:rPr>
                <w:rFonts w:hint="eastAsia" w:ascii="仿宋" w:hAnsi="仿宋" w:eastAsia="仿宋" w:cs="仿宋"/>
                <w:color w:val="auto"/>
                <w:sz w:val="21"/>
                <w:szCs w:val="21"/>
                <w:highlight w:val="none"/>
                <w:vertAlign w:val="subscript"/>
              </w:rPr>
              <w:t>d</w:t>
            </w:r>
          </w:p>
          <w:p w14:paraId="54806926">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航线L&gt;2r</w:t>
            </w:r>
            <w:r>
              <w:rPr>
                <w:rFonts w:hint="eastAsia" w:ascii="仿宋" w:hAnsi="仿宋" w:eastAsia="仿宋" w:cs="仿宋"/>
                <w:color w:val="auto"/>
                <w:sz w:val="21"/>
                <w:szCs w:val="21"/>
                <w:highlight w:val="none"/>
                <w:vertAlign w:val="subscript"/>
              </w:rPr>
              <w:t>d</w:t>
            </w:r>
          </w:p>
        </w:tc>
        <w:tc>
          <w:tcPr>
            <w:tcW w:w="520" w:type="dxa"/>
            <w:noWrap w:val="0"/>
            <w:vAlign w:val="center"/>
          </w:tcPr>
          <w:p w14:paraId="17225EDF">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w:t>
            </w:r>
          </w:p>
          <w:p w14:paraId="303CF6A4">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p w14:paraId="3A9C7488">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p w14:paraId="0265C122">
            <w:pPr>
              <w:spacing w:before="60" w:after="60" w:line="240" w:lineRule="auto"/>
              <w:ind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521" w:type="dxa"/>
            <w:vMerge w:val="continue"/>
            <w:noWrap w:val="0"/>
            <w:vAlign w:val="center"/>
          </w:tcPr>
          <w:p w14:paraId="6FCD4B3C">
            <w:pPr>
              <w:spacing w:before="60" w:after="60" w:line="240" w:lineRule="auto"/>
              <w:ind w:firstLine="0" w:firstLineChars="0"/>
              <w:jc w:val="center"/>
              <w:rPr>
                <w:rFonts w:hint="eastAsia" w:ascii="仿宋" w:hAnsi="仿宋" w:eastAsia="仿宋" w:cs="仿宋"/>
                <w:color w:val="auto"/>
                <w:sz w:val="21"/>
                <w:szCs w:val="21"/>
                <w:highlight w:val="none"/>
              </w:rPr>
            </w:pPr>
          </w:p>
        </w:tc>
      </w:tr>
    </w:tbl>
    <w:p w14:paraId="15B6AC66">
      <w:pPr>
        <w:keepNext w:val="0"/>
        <w:keepLines w:val="0"/>
        <w:pageBreakBefore w:val="0"/>
        <w:widowControl/>
        <w:kinsoku/>
        <w:wordWrap/>
        <w:overflowPunct/>
        <w:topLinePunct w:val="0"/>
        <w:autoSpaceDE w:val="0"/>
        <w:autoSpaceDN w:val="0"/>
        <w:bidi w:val="0"/>
        <w:adjustRightInd w:val="0"/>
        <w:snapToGrid w:val="0"/>
        <w:spacing w:line="360" w:lineRule="auto"/>
        <w:ind w:left="0" w:firstLine="480" w:firstLineChars="200"/>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注：L为公路或铁路的路线长度；rd为风险源所在保护区范围的当量半径。根据西山水库水源饮用水源保护区实际情况，按照上表对各评估指标分别进行评分，计算得到流动源评分Rf为</w:t>
      </w:r>
      <w:r>
        <w:rPr>
          <w:rFonts w:hint="eastAsia" w:ascii="仿宋" w:hAnsi="仿宋" w:eastAsia="仿宋" w:cs="仿宋"/>
          <w:color w:val="auto"/>
          <w:spacing w:val="0"/>
          <w:w w:val="100"/>
          <w:position w:val="0"/>
          <w:sz w:val="24"/>
          <w:szCs w:val="24"/>
          <w:highlight w:val="none"/>
          <w:lang w:val="en-US" w:eastAsia="zh-CN"/>
        </w:rPr>
        <w:t>15</w:t>
      </w:r>
      <w:r>
        <w:rPr>
          <w:rFonts w:ascii="仿宋" w:hAnsi="仿宋" w:eastAsia="仿宋" w:cs="仿宋"/>
          <w:color w:val="auto"/>
          <w:spacing w:val="0"/>
          <w:w w:val="100"/>
          <w:position w:val="0"/>
          <w:sz w:val="24"/>
          <w:szCs w:val="24"/>
          <w:highlight w:val="none"/>
        </w:rPr>
        <w:t>。</w:t>
      </w:r>
    </w:p>
    <w:p w14:paraId="326D7A35">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outlineLvl w:val="2"/>
        <w:rPr>
          <w:rFonts w:ascii="仿宋" w:hAnsi="仿宋" w:eastAsia="仿宋" w:cs="仿宋"/>
          <w:color w:val="auto"/>
          <w:spacing w:val="0"/>
          <w:w w:val="100"/>
          <w:position w:val="0"/>
          <w:sz w:val="28"/>
          <w:szCs w:val="28"/>
          <w:highlight w:val="none"/>
        </w:rPr>
      </w:pPr>
      <w:bookmarkStart w:id="520" w:name="_Toc22983"/>
      <w:bookmarkStart w:id="521" w:name="_Toc31364"/>
      <w:r>
        <w:rPr>
          <w:rFonts w:ascii="仿宋" w:hAnsi="仿宋" w:eastAsia="仿宋" w:cs="仿宋"/>
          <w:b/>
          <w:bCs/>
          <w:color w:val="auto"/>
          <w:spacing w:val="0"/>
          <w:w w:val="100"/>
          <w:position w:val="0"/>
          <w:sz w:val="28"/>
          <w:szCs w:val="28"/>
          <w:highlight w:val="none"/>
        </w:rPr>
        <w:t>5.2.3非点源风险源辨识</w:t>
      </w:r>
      <w:bookmarkEnd w:id="520"/>
      <w:bookmarkEnd w:id="521"/>
    </w:p>
    <w:p w14:paraId="7C15B4D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（1）农村生活污染源</w:t>
      </w:r>
    </w:p>
    <w:p w14:paraId="23EA7A9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通过对水源保护区区域现场调查，农村生活污染</w:t>
      </w:r>
      <w:r>
        <w:rPr>
          <w:rFonts w:hint="eastAsia" w:ascii="仿宋" w:hAnsi="仿宋" w:eastAsia="仿宋" w:cs="仿宋"/>
          <w:color w:val="auto"/>
          <w:spacing w:val="0"/>
          <w:w w:val="100"/>
          <w:position w:val="0"/>
          <w:sz w:val="28"/>
          <w:szCs w:val="28"/>
          <w:highlight w:val="none"/>
          <w:lang w:eastAsia="zh-CN"/>
        </w:rPr>
        <w:t>主要</w:t>
      </w:r>
      <w:r>
        <w:rPr>
          <w:rFonts w:ascii="仿宋" w:hAnsi="仿宋" w:eastAsia="仿宋" w:cs="仿宋"/>
          <w:color w:val="auto"/>
          <w:spacing w:val="0"/>
          <w:w w:val="100"/>
          <w:position w:val="0"/>
          <w:sz w:val="28"/>
          <w:szCs w:val="28"/>
          <w:highlight w:val="none"/>
        </w:rPr>
        <w:t>来源于沿线居民。主要包括扶育经营所（33户居民）、冲锋经营所（35户居民）、一江村（30户居民）、翠峦经营所（30户居民）、尖山河林场（13户居民）等居民。</w:t>
      </w:r>
    </w:p>
    <w:p w14:paraId="3D47CCE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①居民生活污水污染</w:t>
      </w:r>
    </w:p>
    <w:p w14:paraId="6B7B7B7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通过对水源保护区现场调查发现，农村生活污水主要包括：厨房污水、洗衣污水、洗澡污水、厕所溢出污水等。农村生活污水水质比较稳定，主要含纤维素、淀粉、糖类、脂肪、蛋白质等有机类物质，还含有氮、磷等无机盐类，一般不含有毒物质，污水中常含有合成洗涤剂以及细菌、病毒、寄生虫卵等，水量则因地区性差异而不同。</w:t>
      </w:r>
    </w:p>
    <w:p w14:paraId="1B7E9FF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②居民生活垃圾与固体废弃物污染</w:t>
      </w:r>
    </w:p>
    <w:p w14:paraId="1079B02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依据《乌翠区西山水库饮用水水源保护区划分技术报告》等相关材料，水源地区域小型污水处理设施，污水回用不外排，并设立垃圾转运站。</w:t>
      </w:r>
    </w:p>
    <w:p w14:paraId="6C6DFB6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（2）农业面源污染</w:t>
      </w:r>
    </w:p>
    <w:p w14:paraId="08297B1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农业种植污染主要是化肥、农药等通过降雨形成的径流将地表污染物质带入水体造成的污染。农业种植污染主要来源于农业种植过程中化肥、农药的施用。根据资料收集和对水源保护区现场调查，对西山水库水源饮用水源保护区产生一定的影响。</w:t>
      </w:r>
    </w:p>
    <w:p w14:paraId="1A9E252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（3）</w:t>
      </w:r>
      <w:r>
        <w:rPr>
          <w:rFonts w:ascii="仿宋" w:hAnsi="仿宋" w:eastAsia="仿宋" w:cs="仿宋"/>
          <w:color w:val="auto"/>
          <w:spacing w:val="0"/>
          <w:w w:val="100"/>
          <w:position w:val="0"/>
          <w:sz w:val="28"/>
          <w:szCs w:val="28"/>
          <w:highlight w:val="none"/>
        </w:rPr>
        <w:t>畜禽养殖情况</w:t>
      </w:r>
    </w:p>
    <w:p w14:paraId="552893F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近年来乌翠区人民政府已积极开展农村环境综合整治工作，西山水库水源保护区已实行退养政策，根据现场了解可知，但在水源保护区周围分布有养殖场饲养少量畜禽。</w:t>
      </w:r>
    </w:p>
    <w:p w14:paraId="556609E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参照《集中式饮用水水源环境保护指南（试行）》，分析潜在事件，筛选风险源。关于非点源评价指标及评分值见表5-3。</w:t>
      </w:r>
    </w:p>
    <w:p w14:paraId="65BD7C61">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表5-3非点源评价指标及评分值（R</w:t>
      </w:r>
      <w:r>
        <w:rPr>
          <w:rFonts w:ascii="仿宋" w:hAnsi="仿宋" w:eastAsia="仿宋" w:cs="仿宋"/>
          <w:b/>
          <w:bCs/>
          <w:color w:val="auto"/>
          <w:spacing w:val="0"/>
          <w:w w:val="100"/>
          <w:position w:val="0"/>
          <w:sz w:val="12"/>
          <w:szCs w:val="12"/>
          <w:highlight w:val="none"/>
        </w:rPr>
        <w:t>Y</w:t>
      </w:r>
      <w:r>
        <w:rPr>
          <w:rFonts w:ascii="仿宋" w:hAnsi="仿宋" w:eastAsia="仿宋" w:cs="仿宋"/>
          <w:b/>
          <w:bCs/>
          <w:color w:val="auto"/>
          <w:spacing w:val="0"/>
          <w:w w:val="100"/>
          <w:position w:val="0"/>
          <w:sz w:val="24"/>
          <w:szCs w:val="24"/>
          <w:highlight w:val="none"/>
        </w:rPr>
        <w:t>）</w:t>
      </w:r>
    </w:p>
    <w:tbl>
      <w:tblPr>
        <w:tblStyle w:val="13"/>
        <w:tblW w:w="502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5"/>
        <w:gridCol w:w="727"/>
        <w:gridCol w:w="666"/>
        <w:gridCol w:w="635"/>
        <w:gridCol w:w="731"/>
        <w:gridCol w:w="727"/>
        <w:gridCol w:w="696"/>
        <w:gridCol w:w="498"/>
        <w:gridCol w:w="552"/>
        <w:gridCol w:w="729"/>
        <w:gridCol w:w="699"/>
        <w:gridCol w:w="500"/>
        <w:gridCol w:w="553"/>
      </w:tblGrid>
      <w:tr w14:paraId="7C2DF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386" w:type="pct"/>
            <w:vMerge w:val="restart"/>
            <w:tcBorders>
              <w:bottom w:val="nil"/>
            </w:tcBorders>
            <w:vAlign w:val="center"/>
          </w:tcPr>
          <w:p w14:paraId="2A68586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风险源</w:t>
            </w:r>
          </w:p>
        </w:tc>
        <w:tc>
          <w:tcPr>
            <w:tcW w:w="1650" w:type="pct"/>
            <w:gridSpan w:val="4"/>
            <w:vAlign w:val="center"/>
          </w:tcPr>
          <w:p w14:paraId="5461A3F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一级保护区</w:t>
            </w:r>
          </w:p>
        </w:tc>
        <w:tc>
          <w:tcPr>
            <w:tcW w:w="1479" w:type="pct"/>
            <w:gridSpan w:val="4"/>
            <w:vAlign w:val="center"/>
          </w:tcPr>
          <w:p w14:paraId="1AD3EB1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二级保护区</w:t>
            </w:r>
          </w:p>
        </w:tc>
        <w:tc>
          <w:tcPr>
            <w:tcW w:w="1484" w:type="pct"/>
            <w:gridSpan w:val="4"/>
            <w:shd w:val="clear" w:color="auto" w:fill="auto"/>
            <w:vAlign w:val="center"/>
          </w:tcPr>
          <w:p w14:paraId="721807D5">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hint="eastAsia" w:ascii="仿宋" w:hAnsi="仿宋" w:eastAsia="仿宋" w:cs="仿宋"/>
                <w:color w:val="auto"/>
                <w:spacing w:val="0"/>
                <w:w w:val="100"/>
                <w:position w:val="0"/>
                <w:sz w:val="24"/>
                <w:szCs w:val="24"/>
                <w:highlight w:val="none"/>
                <w:lang w:val="en-US" w:eastAsia="zh-CN"/>
              </w:rPr>
              <w:t>准</w:t>
            </w:r>
            <w:r>
              <w:rPr>
                <w:rFonts w:ascii="仿宋" w:hAnsi="仿宋" w:eastAsia="仿宋" w:cs="仿宋"/>
                <w:color w:val="auto"/>
                <w:spacing w:val="0"/>
                <w:w w:val="100"/>
                <w:position w:val="0"/>
                <w:sz w:val="24"/>
                <w:szCs w:val="24"/>
                <w:highlight w:val="none"/>
              </w:rPr>
              <w:t>保护区</w:t>
            </w:r>
          </w:p>
        </w:tc>
      </w:tr>
      <w:tr w14:paraId="194A6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86" w:type="pct"/>
            <w:vMerge w:val="continue"/>
            <w:tcBorders>
              <w:top w:val="nil"/>
            </w:tcBorders>
            <w:vAlign w:val="center"/>
          </w:tcPr>
          <w:p w14:paraId="5B489B7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49BF650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指标值</w:t>
            </w:r>
          </w:p>
        </w:tc>
        <w:tc>
          <w:tcPr>
            <w:tcW w:w="398" w:type="pct"/>
            <w:vAlign w:val="center"/>
          </w:tcPr>
          <w:p w14:paraId="0A0D745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评分值（P</w:t>
            </w:r>
            <w:r>
              <w:rPr>
                <w:rFonts w:ascii="仿宋" w:hAnsi="仿宋" w:eastAsia="仿宋" w:cs="仿宋"/>
                <w:color w:val="auto"/>
                <w:spacing w:val="0"/>
                <w:w w:val="100"/>
                <w:position w:val="0"/>
                <w:sz w:val="12"/>
                <w:szCs w:val="12"/>
                <w:highlight w:val="none"/>
              </w:rPr>
              <w:t>1</w:t>
            </w:r>
            <w:r>
              <w:rPr>
                <w:rFonts w:ascii="仿宋" w:hAnsi="仿宋" w:eastAsia="仿宋" w:cs="仿宋"/>
                <w:color w:val="auto"/>
                <w:spacing w:val="0"/>
                <w:w w:val="100"/>
                <w:position w:val="0"/>
                <w:sz w:val="24"/>
                <w:szCs w:val="24"/>
                <w:highlight w:val="none"/>
              </w:rPr>
              <w:t>）</w:t>
            </w:r>
          </w:p>
        </w:tc>
        <w:tc>
          <w:tcPr>
            <w:tcW w:w="380" w:type="pct"/>
            <w:vAlign w:val="center"/>
          </w:tcPr>
          <w:p w14:paraId="2B1F6FC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现状</w:t>
            </w:r>
          </w:p>
        </w:tc>
        <w:tc>
          <w:tcPr>
            <w:tcW w:w="436" w:type="pct"/>
            <w:vAlign w:val="center"/>
          </w:tcPr>
          <w:p w14:paraId="2545BB5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得分</w:t>
            </w:r>
          </w:p>
        </w:tc>
        <w:tc>
          <w:tcPr>
            <w:tcW w:w="435" w:type="pct"/>
            <w:vAlign w:val="center"/>
          </w:tcPr>
          <w:p w14:paraId="1468F14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指标值</w:t>
            </w:r>
          </w:p>
        </w:tc>
        <w:tc>
          <w:tcPr>
            <w:tcW w:w="416" w:type="pct"/>
            <w:vAlign w:val="center"/>
          </w:tcPr>
          <w:p w14:paraId="5E55BDC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评分值（P</w:t>
            </w:r>
            <w:r>
              <w:rPr>
                <w:rFonts w:ascii="仿宋" w:hAnsi="仿宋" w:eastAsia="仿宋" w:cs="仿宋"/>
                <w:color w:val="auto"/>
                <w:spacing w:val="0"/>
                <w:w w:val="100"/>
                <w:position w:val="0"/>
                <w:sz w:val="12"/>
                <w:szCs w:val="12"/>
                <w:highlight w:val="none"/>
              </w:rPr>
              <w:t>1</w:t>
            </w:r>
            <w:r>
              <w:rPr>
                <w:rFonts w:ascii="仿宋" w:hAnsi="仿宋" w:eastAsia="仿宋" w:cs="仿宋"/>
                <w:color w:val="auto"/>
                <w:spacing w:val="0"/>
                <w:w w:val="100"/>
                <w:position w:val="0"/>
                <w:sz w:val="24"/>
                <w:szCs w:val="24"/>
                <w:highlight w:val="none"/>
              </w:rPr>
              <w:t>）</w:t>
            </w:r>
          </w:p>
        </w:tc>
        <w:tc>
          <w:tcPr>
            <w:tcW w:w="298" w:type="pct"/>
            <w:vAlign w:val="center"/>
          </w:tcPr>
          <w:p w14:paraId="01764CF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现状</w:t>
            </w:r>
          </w:p>
        </w:tc>
        <w:tc>
          <w:tcPr>
            <w:tcW w:w="329" w:type="pct"/>
            <w:vAlign w:val="center"/>
          </w:tcPr>
          <w:p w14:paraId="28FAD51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得分</w:t>
            </w:r>
          </w:p>
        </w:tc>
        <w:tc>
          <w:tcPr>
            <w:tcW w:w="436" w:type="pct"/>
            <w:shd w:val="clear" w:color="auto" w:fill="auto"/>
            <w:vAlign w:val="center"/>
          </w:tcPr>
          <w:p w14:paraId="0C7C7C5F">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指标值</w:t>
            </w:r>
          </w:p>
        </w:tc>
        <w:tc>
          <w:tcPr>
            <w:tcW w:w="418" w:type="pct"/>
            <w:shd w:val="clear" w:color="auto" w:fill="auto"/>
            <w:vAlign w:val="center"/>
          </w:tcPr>
          <w:p w14:paraId="459A1E1A">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评分值（P</w:t>
            </w:r>
            <w:r>
              <w:rPr>
                <w:rFonts w:ascii="仿宋" w:hAnsi="仿宋" w:eastAsia="仿宋" w:cs="仿宋"/>
                <w:color w:val="auto"/>
                <w:spacing w:val="0"/>
                <w:w w:val="100"/>
                <w:position w:val="0"/>
                <w:sz w:val="12"/>
                <w:szCs w:val="12"/>
                <w:highlight w:val="none"/>
              </w:rPr>
              <w:t>1</w:t>
            </w:r>
            <w:r>
              <w:rPr>
                <w:rFonts w:ascii="仿宋" w:hAnsi="仿宋" w:eastAsia="仿宋" w:cs="仿宋"/>
                <w:color w:val="auto"/>
                <w:spacing w:val="0"/>
                <w:w w:val="100"/>
                <w:position w:val="0"/>
                <w:sz w:val="24"/>
                <w:szCs w:val="24"/>
                <w:highlight w:val="none"/>
              </w:rPr>
              <w:t>）</w:t>
            </w:r>
          </w:p>
        </w:tc>
        <w:tc>
          <w:tcPr>
            <w:tcW w:w="299" w:type="pct"/>
            <w:shd w:val="clear" w:color="auto" w:fill="auto"/>
            <w:vAlign w:val="center"/>
          </w:tcPr>
          <w:p w14:paraId="688FB125">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现状</w:t>
            </w:r>
          </w:p>
        </w:tc>
        <w:tc>
          <w:tcPr>
            <w:tcW w:w="329" w:type="pct"/>
            <w:shd w:val="clear" w:color="auto" w:fill="auto"/>
            <w:vAlign w:val="center"/>
          </w:tcPr>
          <w:p w14:paraId="2B0F216C">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得分</w:t>
            </w:r>
          </w:p>
        </w:tc>
      </w:tr>
      <w:tr w14:paraId="19C44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86" w:type="pct"/>
            <w:vMerge w:val="restart"/>
            <w:tcBorders>
              <w:bottom w:val="nil"/>
            </w:tcBorders>
            <w:vAlign w:val="center"/>
          </w:tcPr>
          <w:p w14:paraId="32AA610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耕地面积所占比例</w:t>
            </w:r>
          </w:p>
        </w:tc>
        <w:tc>
          <w:tcPr>
            <w:tcW w:w="435" w:type="pct"/>
            <w:vAlign w:val="center"/>
          </w:tcPr>
          <w:p w14:paraId="7655090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无</w:t>
            </w:r>
          </w:p>
        </w:tc>
        <w:tc>
          <w:tcPr>
            <w:tcW w:w="398" w:type="pct"/>
            <w:vAlign w:val="center"/>
          </w:tcPr>
          <w:p w14:paraId="2482AB9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0</w:t>
            </w:r>
          </w:p>
        </w:tc>
        <w:tc>
          <w:tcPr>
            <w:tcW w:w="380" w:type="pct"/>
            <w:vMerge w:val="restart"/>
            <w:tcBorders>
              <w:bottom w:val="nil"/>
            </w:tcBorders>
            <w:vAlign w:val="center"/>
          </w:tcPr>
          <w:p w14:paraId="220ECAF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无</w:t>
            </w:r>
          </w:p>
        </w:tc>
        <w:tc>
          <w:tcPr>
            <w:tcW w:w="436" w:type="pct"/>
            <w:vMerge w:val="restart"/>
            <w:tcBorders>
              <w:bottom w:val="nil"/>
            </w:tcBorders>
            <w:vAlign w:val="center"/>
          </w:tcPr>
          <w:p w14:paraId="6DFB37B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0</w:t>
            </w:r>
          </w:p>
        </w:tc>
        <w:tc>
          <w:tcPr>
            <w:tcW w:w="435" w:type="pct"/>
            <w:vAlign w:val="center"/>
          </w:tcPr>
          <w:p w14:paraId="432B9C6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无</w:t>
            </w:r>
          </w:p>
        </w:tc>
        <w:tc>
          <w:tcPr>
            <w:tcW w:w="416" w:type="pct"/>
            <w:vAlign w:val="center"/>
          </w:tcPr>
          <w:p w14:paraId="14F7775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0</w:t>
            </w:r>
          </w:p>
        </w:tc>
        <w:tc>
          <w:tcPr>
            <w:tcW w:w="298" w:type="pct"/>
            <w:vMerge w:val="restart"/>
            <w:tcBorders>
              <w:bottom w:val="nil"/>
            </w:tcBorders>
            <w:vAlign w:val="center"/>
          </w:tcPr>
          <w:p w14:paraId="04860B8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&lt;5%</w:t>
            </w:r>
          </w:p>
        </w:tc>
        <w:tc>
          <w:tcPr>
            <w:tcW w:w="329" w:type="pct"/>
            <w:vMerge w:val="restart"/>
            <w:tcBorders>
              <w:bottom w:val="nil"/>
            </w:tcBorders>
            <w:vAlign w:val="center"/>
          </w:tcPr>
          <w:p w14:paraId="60BDFD5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436" w:type="pct"/>
            <w:tcBorders>
              <w:bottom w:val="nil"/>
            </w:tcBorders>
            <w:shd w:val="clear" w:color="auto" w:fill="auto"/>
            <w:vAlign w:val="center"/>
          </w:tcPr>
          <w:p w14:paraId="04DF83D3">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ascii="仿宋" w:hAnsi="仿宋" w:eastAsia="仿宋" w:cs="仿宋"/>
                <w:color w:val="auto"/>
                <w:spacing w:val="0"/>
                <w:w w:val="100"/>
                <w:position w:val="0"/>
                <w:sz w:val="18"/>
                <w:szCs w:val="18"/>
                <w:highlight w:val="none"/>
              </w:rPr>
              <w:t>无</w:t>
            </w:r>
          </w:p>
        </w:tc>
        <w:tc>
          <w:tcPr>
            <w:tcW w:w="418" w:type="pct"/>
            <w:tcBorders>
              <w:bottom w:val="nil"/>
            </w:tcBorders>
            <w:shd w:val="clear" w:color="auto" w:fill="auto"/>
            <w:vAlign w:val="center"/>
          </w:tcPr>
          <w:p w14:paraId="1254B7CC">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ascii="仿宋" w:hAnsi="仿宋" w:eastAsia="仿宋" w:cs="仿宋"/>
                <w:color w:val="auto"/>
                <w:spacing w:val="0"/>
                <w:w w:val="100"/>
                <w:position w:val="0"/>
                <w:sz w:val="18"/>
                <w:szCs w:val="18"/>
                <w:highlight w:val="none"/>
              </w:rPr>
              <w:t>0</w:t>
            </w:r>
          </w:p>
        </w:tc>
        <w:tc>
          <w:tcPr>
            <w:tcW w:w="299" w:type="pct"/>
            <w:vMerge w:val="restart"/>
            <w:tcBorders>
              <w:bottom w:val="nil"/>
            </w:tcBorders>
            <w:shd w:val="clear" w:color="auto" w:fill="auto"/>
            <w:vAlign w:val="center"/>
          </w:tcPr>
          <w:p w14:paraId="076A81F9">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&lt;</w:t>
            </w:r>
            <w:r>
              <w:rPr>
                <w:rFonts w:hint="eastAsia" w:ascii="仿宋" w:hAnsi="仿宋" w:eastAsia="仿宋" w:cs="仿宋"/>
                <w:color w:val="auto"/>
                <w:spacing w:val="0"/>
                <w:w w:val="100"/>
                <w:position w:val="0"/>
                <w:sz w:val="24"/>
                <w:szCs w:val="24"/>
                <w:highlight w:val="none"/>
                <w:lang w:val="en-US" w:eastAsia="zh-CN"/>
              </w:rPr>
              <w:t>20</w:t>
            </w:r>
            <w:r>
              <w:rPr>
                <w:rFonts w:ascii="仿宋" w:hAnsi="仿宋" w:eastAsia="仿宋" w:cs="仿宋"/>
                <w:color w:val="auto"/>
                <w:spacing w:val="0"/>
                <w:w w:val="100"/>
                <w:position w:val="0"/>
                <w:sz w:val="24"/>
                <w:szCs w:val="24"/>
                <w:highlight w:val="none"/>
              </w:rPr>
              <w:t>%</w:t>
            </w:r>
          </w:p>
        </w:tc>
        <w:tc>
          <w:tcPr>
            <w:tcW w:w="329" w:type="pct"/>
            <w:vMerge w:val="restart"/>
            <w:tcBorders>
              <w:bottom w:val="nil"/>
            </w:tcBorders>
            <w:shd w:val="clear" w:color="auto" w:fill="auto"/>
            <w:vAlign w:val="center"/>
          </w:tcPr>
          <w:p w14:paraId="1CBBDD8B">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spacing w:val="0"/>
                <w:w w:val="100"/>
                <w:kern w:val="0"/>
                <w:position w:val="0"/>
                <w:sz w:val="24"/>
                <w:szCs w:val="24"/>
                <w:highlight w:val="none"/>
                <w:lang w:val="en-US" w:eastAsia="zh-CN" w:bidi="ar-SA"/>
              </w:rPr>
            </w:pPr>
            <w:r>
              <w:rPr>
                <w:rFonts w:hint="eastAsia" w:ascii="仿宋" w:hAnsi="仿宋" w:eastAsia="仿宋" w:cs="仿宋"/>
                <w:color w:val="auto"/>
                <w:spacing w:val="0"/>
                <w:w w:val="100"/>
                <w:position w:val="0"/>
                <w:sz w:val="24"/>
                <w:szCs w:val="24"/>
                <w:highlight w:val="none"/>
                <w:lang w:val="en-US" w:eastAsia="zh-CN"/>
              </w:rPr>
              <w:t>1</w:t>
            </w:r>
          </w:p>
        </w:tc>
      </w:tr>
      <w:tr w14:paraId="4562B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386" w:type="pct"/>
            <w:vMerge w:val="continue"/>
            <w:tcBorders>
              <w:top w:val="nil"/>
              <w:bottom w:val="nil"/>
            </w:tcBorders>
            <w:vAlign w:val="center"/>
          </w:tcPr>
          <w:p w14:paraId="195607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restart"/>
            <w:tcBorders>
              <w:bottom w:val="nil"/>
            </w:tcBorders>
            <w:vAlign w:val="center"/>
          </w:tcPr>
          <w:p w14:paraId="5A59402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存在</w:t>
            </w:r>
          </w:p>
        </w:tc>
        <w:tc>
          <w:tcPr>
            <w:tcW w:w="398" w:type="pct"/>
            <w:vMerge w:val="restart"/>
            <w:tcBorders>
              <w:bottom w:val="nil"/>
            </w:tcBorders>
            <w:vAlign w:val="center"/>
          </w:tcPr>
          <w:p w14:paraId="75B5A20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10</w:t>
            </w:r>
          </w:p>
        </w:tc>
        <w:tc>
          <w:tcPr>
            <w:tcW w:w="380" w:type="pct"/>
            <w:vMerge w:val="continue"/>
            <w:tcBorders>
              <w:top w:val="nil"/>
              <w:bottom w:val="nil"/>
            </w:tcBorders>
            <w:vAlign w:val="center"/>
          </w:tcPr>
          <w:p w14:paraId="53F7787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5F33BE2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0863DBD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&lt;5%</w:t>
            </w:r>
          </w:p>
        </w:tc>
        <w:tc>
          <w:tcPr>
            <w:tcW w:w="416" w:type="pct"/>
            <w:vAlign w:val="center"/>
          </w:tcPr>
          <w:p w14:paraId="6BD4AEF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2</w:t>
            </w:r>
          </w:p>
        </w:tc>
        <w:tc>
          <w:tcPr>
            <w:tcW w:w="298" w:type="pct"/>
            <w:vMerge w:val="continue"/>
            <w:tcBorders>
              <w:top w:val="nil"/>
              <w:bottom w:val="nil"/>
            </w:tcBorders>
            <w:vAlign w:val="center"/>
          </w:tcPr>
          <w:p w14:paraId="5E7C1C8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7A63E34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0EDE29D6">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ascii="仿宋" w:hAnsi="仿宋" w:eastAsia="仿宋" w:cs="仿宋"/>
                <w:color w:val="auto"/>
                <w:spacing w:val="0"/>
                <w:w w:val="100"/>
                <w:position w:val="0"/>
                <w:sz w:val="18"/>
                <w:szCs w:val="18"/>
                <w:highlight w:val="none"/>
              </w:rPr>
              <w:t>&lt;</w:t>
            </w:r>
            <w:r>
              <w:rPr>
                <w:rFonts w:hint="eastAsia" w:ascii="仿宋" w:hAnsi="仿宋" w:eastAsia="仿宋" w:cs="仿宋"/>
                <w:color w:val="auto"/>
                <w:spacing w:val="0"/>
                <w:w w:val="100"/>
                <w:position w:val="0"/>
                <w:sz w:val="18"/>
                <w:szCs w:val="18"/>
                <w:highlight w:val="none"/>
                <w:lang w:val="en-US" w:eastAsia="zh-CN"/>
              </w:rPr>
              <w:t>20</w:t>
            </w:r>
            <w:r>
              <w:rPr>
                <w:rFonts w:ascii="仿宋" w:hAnsi="仿宋" w:eastAsia="仿宋" w:cs="仿宋"/>
                <w:color w:val="auto"/>
                <w:spacing w:val="0"/>
                <w:w w:val="100"/>
                <w:position w:val="0"/>
                <w:sz w:val="18"/>
                <w:szCs w:val="18"/>
                <w:highlight w:val="none"/>
              </w:rPr>
              <w:t>%</w:t>
            </w:r>
          </w:p>
        </w:tc>
        <w:tc>
          <w:tcPr>
            <w:tcW w:w="418" w:type="pct"/>
            <w:tcBorders>
              <w:top w:val="nil"/>
              <w:bottom w:val="nil"/>
            </w:tcBorders>
            <w:shd w:val="clear" w:color="auto" w:fill="auto"/>
            <w:vAlign w:val="center"/>
          </w:tcPr>
          <w:p w14:paraId="3E8F9FE3">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spacing w:val="0"/>
                <w:w w:val="100"/>
                <w:kern w:val="0"/>
                <w:position w:val="0"/>
                <w:sz w:val="18"/>
                <w:szCs w:val="18"/>
                <w:highlight w:val="none"/>
                <w:lang w:val="en-US" w:eastAsia="zh-CN" w:bidi="ar-SA"/>
              </w:rPr>
            </w:pPr>
            <w:r>
              <w:rPr>
                <w:rFonts w:hint="eastAsia" w:ascii="仿宋" w:hAnsi="仿宋" w:eastAsia="仿宋" w:cs="仿宋"/>
                <w:snapToGrid w:val="0"/>
                <w:color w:val="auto"/>
                <w:spacing w:val="0"/>
                <w:w w:val="100"/>
                <w:kern w:val="0"/>
                <w:position w:val="0"/>
                <w:sz w:val="18"/>
                <w:szCs w:val="18"/>
                <w:highlight w:val="none"/>
                <w:lang w:val="en-US" w:eastAsia="zh-CN" w:bidi="ar-SA"/>
              </w:rPr>
              <w:t>1</w:t>
            </w:r>
          </w:p>
        </w:tc>
        <w:tc>
          <w:tcPr>
            <w:tcW w:w="299" w:type="pct"/>
            <w:vMerge w:val="continue"/>
            <w:tcBorders>
              <w:top w:val="nil"/>
              <w:bottom w:val="nil"/>
            </w:tcBorders>
            <w:shd w:val="clear" w:color="auto" w:fill="auto"/>
            <w:vAlign w:val="center"/>
          </w:tcPr>
          <w:p w14:paraId="2E7FFFBE">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6AE150C2">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61B8C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386" w:type="pct"/>
            <w:vMerge w:val="continue"/>
            <w:tcBorders>
              <w:top w:val="nil"/>
              <w:bottom w:val="nil"/>
            </w:tcBorders>
            <w:vAlign w:val="center"/>
          </w:tcPr>
          <w:p w14:paraId="23BA74B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continue"/>
            <w:tcBorders>
              <w:top w:val="nil"/>
              <w:bottom w:val="nil"/>
            </w:tcBorders>
            <w:vAlign w:val="center"/>
          </w:tcPr>
          <w:p w14:paraId="4ECDEA9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98" w:type="pct"/>
            <w:vMerge w:val="continue"/>
            <w:tcBorders>
              <w:top w:val="nil"/>
              <w:bottom w:val="nil"/>
            </w:tcBorders>
            <w:vAlign w:val="center"/>
          </w:tcPr>
          <w:p w14:paraId="0D8F89A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80" w:type="pct"/>
            <w:vMerge w:val="continue"/>
            <w:tcBorders>
              <w:top w:val="nil"/>
              <w:bottom w:val="nil"/>
            </w:tcBorders>
            <w:vAlign w:val="center"/>
          </w:tcPr>
          <w:p w14:paraId="02D66CC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32BD763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5020B0B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5%～10%</w:t>
            </w:r>
          </w:p>
        </w:tc>
        <w:tc>
          <w:tcPr>
            <w:tcW w:w="416" w:type="pct"/>
            <w:vAlign w:val="center"/>
          </w:tcPr>
          <w:p w14:paraId="5366E29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3</w:t>
            </w:r>
          </w:p>
        </w:tc>
        <w:tc>
          <w:tcPr>
            <w:tcW w:w="298" w:type="pct"/>
            <w:vMerge w:val="continue"/>
            <w:tcBorders>
              <w:top w:val="nil"/>
              <w:bottom w:val="nil"/>
            </w:tcBorders>
            <w:vAlign w:val="center"/>
          </w:tcPr>
          <w:p w14:paraId="63D83E9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4DE41DD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33160BC5">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ascii="仿宋" w:hAnsi="仿宋" w:eastAsia="仿宋" w:cs="仿宋"/>
                <w:color w:val="auto"/>
                <w:spacing w:val="0"/>
                <w:w w:val="100"/>
                <w:position w:val="0"/>
                <w:sz w:val="18"/>
                <w:szCs w:val="18"/>
                <w:highlight w:val="none"/>
              </w:rPr>
              <w:t>20%～30%</w:t>
            </w:r>
          </w:p>
        </w:tc>
        <w:tc>
          <w:tcPr>
            <w:tcW w:w="418" w:type="pct"/>
            <w:tcBorders>
              <w:top w:val="nil"/>
              <w:bottom w:val="nil"/>
            </w:tcBorders>
            <w:shd w:val="clear" w:color="auto" w:fill="auto"/>
            <w:vAlign w:val="center"/>
          </w:tcPr>
          <w:p w14:paraId="33ADF92C">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spacing w:val="0"/>
                <w:w w:val="100"/>
                <w:kern w:val="0"/>
                <w:position w:val="0"/>
                <w:sz w:val="18"/>
                <w:szCs w:val="18"/>
                <w:highlight w:val="none"/>
                <w:lang w:val="en-US" w:eastAsia="zh-CN" w:bidi="ar-SA"/>
              </w:rPr>
            </w:pPr>
            <w:r>
              <w:rPr>
                <w:rFonts w:hint="eastAsia" w:ascii="仿宋" w:hAnsi="仿宋" w:eastAsia="仿宋" w:cs="仿宋"/>
                <w:snapToGrid w:val="0"/>
                <w:color w:val="auto"/>
                <w:spacing w:val="0"/>
                <w:w w:val="100"/>
                <w:kern w:val="0"/>
                <w:position w:val="0"/>
                <w:sz w:val="18"/>
                <w:szCs w:val="18"/>
                <w:highlight w:val="none"/>
                <w:lang w:val="en-US" w:eastAsia="zh-CN" w:bidi="ar-SA"/>
              </w:rPr>
              <w:t>2</w:t>
            </w:r>
          </w:p>
        </w:tc>
        <w:tc>
          <w:tcPr>
            <w:tcW w:w="299" w:type="pct"/>
            <w:vMerge w:val="continue"/>
            <w:tcBorders>
              <w:top w:val="nil"/>
              <w:bottom w:val="nil"/>
            </w:tcBorders>
            <w:shd w:val="clear" w:color="auto" w:fill="auto"/>
            <w:vAlign w:val="center"/>
          </w:tcPr>
          <w:p w14:paraId="31CC0197">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7E6A393D">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26D60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386" w:type="pct"/>
            <w:vMerge w:val="continue"/>
            <w:tcBorders>
              <w:top w:val="nil"/>
              <w:bottom w:val="nil"/>
            </w:tcBorders>
            <w:vAlign w:val="center"/>
          </w:tcPr>
          <w:p w14:paraId="4CF4F23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continue"/>
            <w:tcBorders>
              <w:top w:val="nil"/>
              <w:bottom w:val="nil"/>
            </w:tcBorders>
            <w:vAlign w:val="center"/>
          </w:tcPr>
          <w:p w14:paraId="1ED6935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98" w:type="pct"/>
            <w:vMerge w:val="continue"/>
            <w:tcBorders>
              <w:top w:val="nil"/>
              <w:bottom w:val="nil"/>
            </w:tcBorders>
            <w:vAlign w:val="center"/>
          </w:tcPr>
          <w:p w14:paraId="1635883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80" w:type="pct"/>
            <w:vMerge w:val="continue"/>
            <w:tcBorders>
              <w:top w:val="nil"/>
              <w:bottom w:val="nil"/>
            </w:tcBorders>
            <w:vAlign w:val="center"/>
          </w:tcPr>
          <w:p w14:paraId="0356AA4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5BDD66E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2D94864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10%～20%</w:t>
            </w:r>
          </w:p>
        </w:tc>
        <w:tc>
          <w:tcPr>
            <w:tcW w:w="416" w:type="pct"/>
            <w:vAlign w:val="center"/>
          </w:tcPr>
          <w:p w14:paraId="29422B3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4</w:t>
            </w:r>
          </w:p>
        </w:tc>
        <w:tc>
          <w:tcPr>
            <w:tcW w:w="298" w:type="pct"/>
            <w:vMerge w:val="continue"/>
            <w:tcBorders>
              <w:top w:val="nil"/>
              <w:bottom w:val="nil"/>
            </w:tcBorders>
            <w:vAlign w:val="center"/>
          </w:tcPr>
          <w:p w14:paraId="6FA7661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60FDA4E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53F24929">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hint="eastAsia" w:ascii="仿宋" w:hAnsi="仿宋" w:eastAsia="仿宋" w:cs="仿宋"/>
                <w:color w:val="auto"/>
                <w:spacing w:val="0"/>
                <w:w w:val="100"/>
                <w:position w:val="0"/>
                <w:sz w:val="18"/>
                <w:szCs w:val="18"/>
                <w:highlight w:val="none"/>
                <w:lang w:eastAsia="zh-CN"/>
              </w:rPr>
              <w:t>30%～40%</w:t>
            </w:r>
          </w:p>
        </w:tc>
        <w:tc>
          <w:tcPr>
            <w:tcW w:w="418" w:type="pct"/>
            <w:tcBorders>
              <w:top w:val="nil"/>
              <w:bottom w:val="nil"/>
            </w:tcBorders>
            <w:shd w:val="clear" w:color="auto" w:fill="auto"/>
            <w:vAlign w:val="center"/>
          </w:tcPr>
          <w:p w14:paraId="49D7BAC8">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spacing w:val="0"/>
                <w:w w:val="100"/>
                <w:kern w:val="0"/>
                <w:position w:val="0"/>
                <w:sz w:val="18"/>
                <w:szCs w:val="18"/>
                <w:highlight w:val="none"/>
                <w:lang w:val="en-US" w:eastAsia="zh-CN" w:bidi="ar-SA"/>
              </w:rPr>
            </w:pPr>
            <w:r>
              <w:rPr>
                <w:rFonts w:hint="eastAsia" w:ascii="仿宋" w:hAnsi="仿宋" w:eastAsia="仿宋" w:cs="仿宋"/>
                <w:snapToGrid w:val="0"/>
                <w:color w:val="auto"/>
                <w:spacing w:val="0"/>
                <w:w w:val="100"/>
                <w:kern w:val="0"/>
                <w:position w:val="0"/>
                <w:sz w:val="18"/>
                <w:szCs w:val="18"/>
                <w:highlight w:val="none"/>
                <w:lang w:val="en-US" w:eastAsia="zh-CN" w:bidi="ar-SA"/>
              </w:rPr>
              <w:t>3</w:t>
            </w:r>
          </w:p>
        </w:tc>
        <w:tc>
          <w:tcPr>
            <w:tcW w:w="299" w:type="pct"/>
            <w:vMerge w:val="continue"/>
            <w:tcBorders>
              <w:top w:val="nil"/>
              <w:bottom w:val="nil"/>
            </w:tcBorders>
            <w:shd w:val="clear" w:color="auto" w:fill="auto"/>
            <w:vAlign w:val="center"/>
          </w:tcPr>
          <w:p w14:paraId="154E4F27">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52459B6A">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59C36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386" w:type="pct"/>
            <w:vMerge w:val="continue"/>
            <w:tcBorders>
              <w:top w:val="nil"/>
              <w:bottom w:val="nil"/>
            </w:tcBorders>
            <w:vAlign w:val="center"/>
          </w:tcPr>
          <w:p w14:paraId="639EC9F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continue"/>
            <w:tcBorders>
              <w:top w:val="nil"/>
              <w:bottom w:val="nil"/>
            </w:tcBorders>
            <w:vAlign w:val="center"/>
          </w:tcPr>
          <w:p w14:paraId="6C9A237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98" w:type="pct"/>
            <w:vMerge w:val="continue"/>
            <w:tcBorders>
              <w:top w:val="nil"/>
              <w:bottom w:val="nil"/>
            </w:tcBorders>
            <w:vAlign w:val="center"/>
          </w:tcPr>
          <w:p w14:paraId="7CDFDFA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80" w:type="pct"/>
            <w:vMerge w:val="continue"/>
            <w:tcBorders>
              <w:top w:val="nil"/>
              <w:bottom w:val="nil"/>
            </w:tcBorders>
            <w:vAlign w:val="center"/>
          </w:tcPr>
          <w:p w14:paraId="3CED746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7D107D6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0D66D68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20%～30%</w:t>
            </w:r>
          </w:p>
        </w:tc>
        <w:tc>
          <w:tcPr>
            <w:tcW w:w="416" w:type="pct"/>
            <w:vAlign w:val="center"/>
          </w:tcPr>
          <w:p w14:paraId="3CAC592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5</w:t>
            </w:r>
          </w:p>
        </w:tc>
        <w:tc>
          <w:tcPr>
            <w:tcW w:w="298" w:type="pct"/>
            <w:vMerge w:val="continue"/>
            <w:tcBorders>
              <w:top w:val="nil"/>
              <w:bottom w:val="nil"/>
            </w:tcBorders>
            <w:vAlign w:val="center"/>
          </w:tcPr>
          <w:p w14:paraId="6180B0E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41A8F6E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4C5A4A22">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hint="eastAsia" w:ascii="仿宋" w:hAnsi="仿宋" w:eastAsia="仿宋" w:cs="仿宋"/>
                <w:color w:val="auto"/>
                <w:spacing w:val="0"/>
                <w:w w:val="100"/>
                <w:position w:val="0"/>
                <w:sz w:val="18"/>
                <w:szCs w:val="18"/>
                <w:highlight w:val="none"/>
                <w:lang w:eastAsia="zh-CN"/>
              </w:rPr>
              <w:t>50%～60%</w:t>
            </w:r>
          </w:p>
        </w:tc>
        <w:tc>
          <w:tcPr>
            <w:tcW w:w="418" w:type="pct"/>
            <w:tcBorders>
              <w:top w:val="nil"/>
              <w:bottom w:val="nil"/>
            </w:tcBorders>
            <w:shd w:val="clear" w:color="auto" w:fill="auto"/>
            <w:vAlign w:val="center"/>
          </w:tcPr>
          <w:p w14:paraId="65F621EE">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仿宋" w:hAnsi="仿宋" w:eastAsia="仿宋" w:cs="仿宋"/>
                <w:snapToGrid w:val="0"/>
                <w:color w:val="auto"/>
                <w:spacing w:val="0"/>
                <w:w w:val="100"/>
                <w:kern w:val="0"/>
                <w:position w:val="0"/>
                <w:sz w:val="18"/>
                <w:szCs w:val="18"/>
                <w:highlight w:val="none"/>
                <w:lang w:val="en-US" w:eastAsia="zh-CN" w:bidi="ar-SA"/>
              </w:rPr>
            </w:pPr>
            <w:r>
              <w:rPr>
                <w:rFonts w:hint="eastAsia" w:ascii="仿宋" w:hAnsi="仿宋" w:eastAsia="仿宋" w:cs="仿宋"/>
                <w:snapToGrid w:val="0"/>
                <w:color w:val="auto"/>
                <w:spacing w:val="0"/>
                <w:w w:val="100"/>
                <w:kern w:val="0"/>
                <w:position w:val="0"/>
                <w:sz w:val="18"/>
                <w:szCs w:val="18"/>
                <w:highlight w:val="none"/>
                <w:lang w:val="en-US" w:eastAsia="zh-CN" w:bidi="ar-SA"/>
              </w:rPr>
              <w:t>4</w:t>
            </w:r>
          </w:p>
        </w:tc>
        <w:tc>
          <w:tcPr>
            <w:tcW w:w="299" w:type="pct"/>
            <w:vMerge w:val="continue"/>
            <w:tcBorders>
              <w:top w:val="nil"/>
              <w:bottom w:val="nil"/>
            </w:tcBorders>
            <w:shd w:val="clear" w:color="auto" w:fill="auto"/>
            <w:vAlign w:val="center"/>
          </w:tcPr>
          <w:p w14:paraId="3B98E15A">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2224E3D4">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4A2A0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386" w:type="pct"/>
            <w:vMerge w:val="continue"/>
            <w:tcBorders>
              <w:top w:val="nil"/>
              <w:bottom w:val="nil"/>
            </w:tcBorders>
            <w:vAlign w:val="center"/>
          </w:tcPr>
          <w:p w14:paraId="03AEDA4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continue"/>
            <w:tcBorders>
              <w:top w:val="nil"/>
              <w:bottom w:val="nil"/>
            </w:tcBorders>
            <w:vAlign w:val="center"/>
          </w:tcPr>
          <w:p w14:paraId="04A0ECA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98" w:type="pct"/>
            <w:vMerge w:val="continue"/>
            <w:tcBorders>
              <w:top w:val="nil"/>
              <w:bottom w:val="nil"/>
            </w:tcBorders>
            <w:vAlign w:val="center"/>
          </w:tcPr>
          <w:p w14:paraId="0CCE4E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80" w:type="pct"/>
            <w:vMerge w:val="continue"/>
            <w:tcBorders>
              <w:top w:val="nil"/>
              <w:bottom w:val="nil"/>
            </w:tcBorders>
            <w:vAlign w:val="center"/>
          </w:tcPr>
          <w:p w14:paraId="7F590CF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34A0094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7610B5C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hint="eastAsia" w:ascii="仿宋" w:hAnsi="仿宋" w:eastAsia="仿宋" w:cs="仿宋"/>
                <w:color w:val="auto"/>
                <w:spacing w:val="0"/>
                <w:w w:val="100"/>
                <w:position w:val="0"/>
                <w:sz w:val="18"/>
                <w:szCs w:val="18"/>
                <w:highlight w:val="none"/>
                <w:lang w:eastAsia="zh-CN"/>
              </w:rPr>
              <w:t>30%～40%</w:t>
            </w:r>
          </w:p>
        </w:tc>
        <w:tc>
          <w:tcPr>
            <w:tcW w:w="416" w:type="pct"/>
            <w:vAlign w:val="center"/>
          </w:tcPr>
          <w:p w14:paraId="6344E6D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6</w:t>
            </w:r>
          </w:p>
        </w:tc>
        <w:tc>
          <w:tcPr>
            <w:tcW w:w="298" w:type="pct"/>
            <w:vMerge w:val="continue"/>
            <w:tcBorders>
              <w:top w:val="nil"/>
              <w:bottom w:val="nil"/>
            </w:tcBorders>
            <w:vAlign w:val="center"/>
          </w:tcPr>
          <w:p w14:paraId="2FA002C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1F6FB8E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44019F46">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hint="eastAsia" w:ascii="仿宋" w:hAnsi="仿宋" w:eastAsia="仿宋" w:cs="仿宋"/>
                <w:color w:val="auto"/>
                <w:spacing w:val="0"/>
                <w:w w:val="100"/>
                <w:position w:val="0"/>
                <w:sz w:val="18"/>
                <w:szCs w:val="18"/>
                <w:highlight w:val="none"/>
                <w:lang w:eastAsia="zh-CN"/>
              </w:rPr>
              <w:t>60%～70%</w:t>
            </w:r>
          </w:p>
        </w:tc>
        <w:tc>
          <w:tcPr>
            <w:tcW w:w="418" w:type="pct"/>
            <w:tcBorders>
              <w:top w:val="nil"/>
              <w:bottom w:val="nil"/>
            </w:tcBorders>
            <w:shd w:val="clear" w:color="auto" w:fill="auto"/>
            <w:vAlign w:val="center"/>
          </w:tcPr>
          <w:p w14:paraId="19A63006">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spacing w:val="0"/>
                <w:w w:val="100"/>
                <w:kern w:val="0"/>
                <w:position w:val="0"/>
                <w:sz w:val="18"/>
                <w:szCs w:val="18"/>
                <w:highlight w:val="none"/>
                <w:lang w:val="en-US" w:eastAsia="zh-CN" w:bidi="ar-SA"/>
              </w:rPr>
            </w:pPr>
            <w:r>
              <w:rPr>
                <w:rFonts w:hint="eastAsia" w:ascii="仿宋" w:hAnsi="仿宋" w:eastAsia="仿宋" w:cs="仿宋"/>
                <w:snapToGrid w:val="0"/>
                <w:color w:val="auto"/>
                <w:spacing w:val="0"/>
                <w:w w:val="100"/>
                <w:kern w:val="0"/>
                <w:position w:val="0"/>
                <w:sz w:val="18"/>
                <w:szCs w:val="18"/>
                <w:highlight w:val="none"/>
                <w:lang w:val="en-US" w:eastAsia="zh-CN" w:bidi="ar-SA"/>
              </w:rPr>
              <w:t>5</w:t>
            </w:r>
          </w:p>
        </w:tc>
        <w:tc>
          <w:tcPr>
            <w:tcW w:w="299" w:type="pct"/>
            <w:vMerge w:val="continue"/>
            <w:tcBorders>
              <w:top w:val="nil"/>
              <w:bottom w:val="nil"/>
            </w:tcBorders>
            <w:shd w:val="clear" w:color="auto" w:fill="auto"/>
            <w:vAlign w:val="center"/>
          </w:tcPr>
          <w:p w14:paraId="5340411D">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7975F065">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1E620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386" w:type="pct"/>
            <w:vMerge w:val="continue"/>
            <w:tcBorders>
              <w:top w:val="nil"/>
              <w:bottom w:val="nil"/>
            </w:tcBorders>
            <w:vAlign w:val="center"/>
          </w:tcPr>
          <w:p w14:paraId="35F30AF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continue"/>
            <w:tcBorders>
              <w:top w:val="nil"/>
              <w:bottom w:val="nil"/>
            </w:tcBorders>
            <w:vAlign w:val="center"/>
          </w:tcPr>
          <w:p w14:paraId="617F8AF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98" w:type="pct"/>
            <w:vMerge w:val="continue"/>
            <w:tcBorders>
              <w:top w:val="nil"/>
              <w:bottom w:val="nil"/>
            </w:tcBorders>
            <w:vAlign w:val="center"/>
          </w:tcPr>
          <w:p w14:paraId="311A880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80" w:type="pct"/>
            <w:vMerge w:val="continue"/>
            <w:tcBorders>
              <w:top w:val="nil"/>
              <w:bottom w:val="nil"/>
            </w:tcBorders>
            <w:vAlign w:val="center"/>
          </w:tcPr>
          <w:p w14:paraId="27D6486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427CB54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4D1F1FB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hint="eastAsia" w:ascii="仿宋" w:hAnsi="仿宋" w:eastAsia="仿宋" w:cs="仿宋"/>
                <w:color w:val="auto"/>
                <w:spacing w:val="0"/>
                <w:w w:val="100"/>
                <w:position w:val="0"/>
                <w:sz w:val="18"/>
                <w:szCs w:val="18"/>
                <w:highlight w:val="none"/>
                <w:lang w:eastAsia="zh-CN"/>
              </w:rPr>
              <w:t>50%～60%</w:t>
            </w:r>
          </w:p>
        </w:tc>
        <w:tc>
          <w:tcPr>
            <w:tcW w:w="416" w:type="pct"/>
            <w:vAlign w:val="center"/>
          </w:tcPr>
          <w:p w14:paraId="61DDF45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7</w:t>
            </w:r>
          </w:p>
        </w:tc>
        <w:tc>
          <w:tcPr>
            <w:tcW w:w="298" w:type="pct"/>
            <w:vMerge w:val="continue"/>
            <w:tcBorders>
              <w:top w:val="nil"/>
              <w:bottom w:val="nil"/>
            </w:tcBorders>
            <w:vAlign w:val="center"/>
          </w:tcPr>
          <w:p w14:paraId="4AA9713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77BE4E4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725E7E02">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hint="eastAsia" w:ascii="仿宋" w:hAnsi="仿宋" w:eastAsia="仿宋" w:cs="仿宋"/>
                <w:color w:val="auto"/>
                <w:spacing w:val="0"/>
                <w:w w:val="100"/>
                <w:position w:val="0"/>
                <w:sz w:val="18"/>
                <w:szCs w:val="18"/>
                <w:highlight w:val="none"/>
                <w:lang w:eastAsia="zh-CN"/>
              </w:rPr>
              <w:t>70%～80%</w:t>
            </w:r>
          </w:p>
        </w:tc>
        <w:tc>
          <w:tcPr>
            <w:tcW w:w="418" w:type="pct"/>
            <w:tcBorders>
              <w:top w:val="nil"/>
              <w:bottom w:val="nil"/>
            </w:tcBorders>
            <w:shd w:val="clear" w:color="auto" w:fill="auto"/>
            <w:vAlign w:val="center"/>
          </w:tcPr>
          <w:p w14:paraId="5B5EF006">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spacing w:val="0"/>
                <w:w w:val="100"/>
                <w:kern w:val="0"/>
                <w:position w:val="0"/>
                <w:sz w:val="18"/>
                <w:szCs w:val="18"/>
                <w:highlight w:val="none"/>
                <w:lang w:val="en-US" w:eastAsia="zh-CN" w:bidi="ar-SA"/>
              </w:rPr>
            </w:pPr>
            <w:r>
              <w:rPr>
                <w:rFonts w:hint="eastAsia" w:ascii="仿宋" w:hAnsi="仿宋" w:eastAsia="仿宋" w:cs="仿宋"/>
                <w:snapToGrid w:val="0"/>
                <w:color w:val="auto"/>
                <w:spacing w:val="0"/>
                <w:w w:val="100"/>
                <w:kern w:val="0"/>
                <w:position w:val="0"/>
                <w:sz w:val="18"/>
                <w:szCs w:val="18"/>
                <w:highlight w:val="none"/>
                <w:lang w:val="en-US" w:eastAsia="zh-CN" w:bidi="ar-SA"/>
              </w:rPr>
              <w:t>6</w:t>
            </w:r>
          </w:p>
        </w:tc>
        <w:tc>
          <w:tcPr>
            <w:tcW w:w="299" w:type="pct"/>
            <w:vMerge w:val="continue"/>
            <w:tcBorders>
              <w:top w:val="nil"/>
              <w:bottom w:val="nil"/>
            </w:tcBorders>
            <w:shd w:val="clear" w:color="auto" w:fill="auto"/>
            <w:vAlign w:val="center"/>
          </w:tcPr>
          <w:p w14:paraId="5D02B530">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7331D29E">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30E9C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 w:hRule="atLeast"/>
        </w:trPr>
        <w:tc>
          <w:tcPr>
            <w:tcW w:w="386" w:type="pct"/>
            <w:vMerge w:val="continue"/>
            <w:tcBorders>
              <w:top w:val="nil"/>
              <w:bottom w:val="nil"/>
            </w:tcBorders>
            <w:vAlign w:val="center"/>
          </w:tcPr>
          <w:p w14:paraId="41DB663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continue"/>
            <w:tcBorders>
              <w:top w:val="nil"/>
              <w:bottom w:val="nil"/>
            </w:tcBorders>
            <w:vAlign w:val="center"/>
          </w:tcPr>
          <w:p w14:paraId="75BF8BF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98" w:type="pct"/>
            <w:vMerge w:val="continue"/>
            <w:tcBorders>
              <w:top w:val="nil"/>
              <w:bottom w:val="nil"/>
            </w:tcBorders>
            <w:vAlign w:val="center"/>
          </w:tcPr>
          <w:p w14:paraId="733E30F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80" w:type="pct"/>
            <w:vMerge w:val="continue"/>
            <w:tcBorders>
              <w:top w:val="nil"/>
              <w:bottom w:val="nil"/>
            </w:tcBorders>
            <w:vAlign w:val="center"/>
          </w:tcPr>
          <w:p w14:paraId="3C52D29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374D05F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38C76FF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hint="eastAsia" w:ascii="仿宋" w:hAnsi="仿宋" w:eastAsia="仿宋" w:cs="仿宋"/>
                <w:color w:val="auto"/>
                <w:spacing w:val="0"/>
                <w:w w:val="100"/>
                <w:position w:val="0"/>
                <w:sz w:val="18"/>
                <w:szCs w:val="18"/>
                <w:highlight w:val="none"/>
                <w:lang w:eastAsia="zh-CN"/>
              </w:rPr>
              <w:t>60%～70%</w:t>
            </w:r>
          </w:p>
        </w:tc>
        <w:tc>
          <w:tcPr>
            <w:tcW w:w="416" w:type="pct"/>
            <w:vAlign w:val="center"/>
          </w:tcPr>
          <w:p w14:paraId="161C7BA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8</w:t>
            </w:r>
          </w:p>
        </w:tc>
        <w:tc>
          <w:tcPr>
            <w:tcW w:w="298" w:type="pct"/>
            <w:vMerge w:val="continue"/>
            <w:tcBorders>
              <w:top w:val="nil"/>
              <w:bottom w:val="nil"/>
            </w:tcBorders>
            <w:vAlign w:val="center"/>
          </w:tcPr>
          <w:p w14:paraId="7994B7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38DED9F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6AD68E2A">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r>
              <w:rPr>
                <w:rFonts w:ascii="仿宋" w:hAnsi="仿宋" w:eastAsia="仿宋" w:cs="仿宋"/>
                <w:color w:val="auto"/>
                <w:spacing w:val="0"/>
                <w:w w:val="100"/>
                <w:position w:val="0"/>
                <w:sz w:val="18"/>
                <w:szCs w:val="18"/>
                <w:highlight w:val="none"/>
              </w:rPr>
              <w:t>&gt;80%</w:t>
            </w:r>
          </w:p>
        </w:tc>
        <w:tc>
          <w:tcPr>
            <w:tcW w:w="418" w:type="pct"/>
            <w:tcBorders>
              <w:top w:val="nil"/>
              <w:bottom w:val="nil"/>
            </w:tcBorders>
            <w:shd w:val="clear" w:color="auto" w:fill="auto"/>
            <w:vAlign w:val="center"/>
          </w:tcPr>
          <w:p w14:paraId="6F874009">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snapToGrid w:val="0"/>
                <w:color w:val="auto"/>
                <w:spacing w:val="0"/>
                <w:w w:val="100"/>
                <w:kern w:val="0"/>
                <w:position w:val="0"/>
                <w:sz w:val="18"/>
                <w:szCs w:val="18"/>
                <w:highlight w:val="none"/>
                <w:lang w:val="en-US" w:eastAsia="zh-CN" w:bidi="ar-SA"/>
              </w:rPr>
            </w:pPr>
            <w:r>
              <w:rPr>
                <w:rFonts w:hint="eastAsia" w:ascii="仿宋" w:hAnsi="仿宋" w:eastAsia="仿宋" w:cs="仿宋"/>
                <w:snapToGrid w:val="0"/>
                <w:color w:val="auto"/>
                <w:spacing w:val="0"/>
                <w:w w:val="100"/>
                <w:kern w:val="0"/>
                <w:position w:val="0"/>
                <w:sz w:val="18"/>
                <w:szCs w:val="18"/>
                <w:highlight w:val="none"/>
                <w:lang w:val="en-US" w:eastAsia="zh-CN" w:bidi="ar-SA"/>
              </w:rPr>
              <w:t>7</w:t>
            </w:r>
          </w:p>
        </w:tc>
        <w:tc>
          <w:tcPr>
            <w:tcW w:w="299" w:type="pct"/>
            <w:vMerge w:val="continue"/>
            <w:tcBorders>
              <w:top w:val="nil"/>
              <w:bottom w:val="nil"/>
            </w:tcBorders>
            <w:shd w:val="clear" w:color="auto" w:fill="auto"/>
            <w:vAlign w:val="center"/>
          </w:tcPr>
          <w:p w14:paraId="41FFC9D7">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79E6428F">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30BDA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386" w:type="pct"/>
            <w:vMerge w:val="continue"/>
            <w:tcBorders>
              <w:top w:val="nil"/>
              <w:bottom w:val="nil"/>
            </w:tcBorders>
            <w:vAlign w:val="center"/>
          </w:tcPr>
          <w:p w14:paraId="0B1E20F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continue"/>
            <w:tcBorders>
              <w:top w:val="nil"/>
              <w:bottom w:val="nil"/>
            </w:tcBorders>
            <w:vAlign w:val="center"/>
          </w:tcPr>
          <w:p w14:paraId="626A401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98" w:type="pct"/>
            <w:vMerge w:val="continue"/>
            <w:tcBorders>
              <w:top w:val="nil"/>
              <w:bottom w:val="nil"/>
            </w:tcBorders>
            <w:vAlign w:val="center"/>
          </w:tcPr>
          <w:p w14:paraId="31A0D72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80" w:type="pct"/>
            <w:vMerge w:val="continue"/>
            <w:tcBorders>
              <w:top w:val="nil"/>
              <w:bottom w:val="nil"/>
            </w:tcBorders>
            <w:vAlign w:val="center"/>
          </w:tcPr>
          <w:p w14:paraId="126313B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538400D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4928C83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hint="eastAsia" w:ascii="仿宋" w:hAnsi="仿宋" w:eastAsia="仿宋" w:cs="仿宋"/>
                <w:color w:val="auto"/>
                <w:spacing w:val="0"/>
                <w:w w:val="100"/>
                <w:position w:val="0"/>
                <w:sz w:val="18"/>
                <w:szCs w:val="18"/>
                <w:highlight w:val="none"/>
                <w:lang w:eastAsia="zh-CN"/>
              </w:rPr>
              <w:t>70%～80%</w:t>
            </w:r>
          </w:p>
        </w:tc>
        <w:tc>
          <w:tcPr>
            <w:tcW w:w="416" w:type="pct"/>
            <w:vAlign w:val="center"/>
          </w:tcPr>
          <w:p w14:paraId="1ED417A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9</w:t>
            </w:r>
          </w:p>
        </w:tc>
        <w:tc>
          <w:tcPr>
            <w:tcW w:w="298" w:type="pct"/>
            <w:vMerge w:val="continue"/>
            <w:tcBorders>
              <w:top w:val="nil"/>
              <w:bottom w:val="nil"/>
            </w:tcBorders>
            <w:vAlign w:val="center"/>
          </w:tcPr>
          <w:p w14:paraId="1C03534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2FD0508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63A10213">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p>
        </w:tc>
        <w:tc>
          <w:tcPr>
            <w:tcW w:w="418" w:type="pct"/>
            <w:tcBorders>
              <w:top w:val="nil"/>
              <w:bottom w:val="nil"/>
            </w:tcBorders>
            <w:shd w:val="clear" w:color="auto" w:fill="auto"/>
            <w:vAlign w:val="center"/>
          </w:tcPr>
          <w:p w14:paraId="5D7A66B8">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p>
        </w:tc>
        <w:tc>
          <w:tcPr>
            <w:tcW w:w="299" w:type="pct"/>
            <w:vMerge w:val="continue"/>
            <w:tcBorders>
              <w:top w:val="nil"/>
              <w:bottom w:val="nil"/>
            </w:tcBorders>
            <w:shd w:val="clear" w:color="auto" w:fill="auto"/>
            <w:vAlign w:val="center"/>
          </w:tcPr>
          <w:p w14:paraId="6ECDBDE7">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5F533AC7">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76C38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 w:hRule="atLeast"/>
        </w:trPr>
        <w:tc>
          <w:tcPr>
            <w:tcW w:w="386" w:type="pct"/>
            <w:vMerge w:val="continue"/>
            <w:tcBorders>
              <w:top w:val="nil"/>
            </w:tcBorders>
            <w:vAlign w:val="center"/>
          </w:tcPr>
          <w:p w14:paraId="1797825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Merge w:val="continue"/>
            <w:tcBorders>
              <w:top w:val="nil"/>
            </w:tcBorders>
            <w:vAlign w:val="center"/>
          </w:tcPr>
          <w:p w14:paraId="5344C60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98" w:type="pct"/>
            <w:vMerge w:val="continue"/>
            <w:tcBorders>
              <w:top w:val="nil"/>
            </w:tcBorders>
            <w:vAlign w:val="center"/>
          </w:tcPr>
          <w:p w14:paraId="33CD21D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80" w:type="pct"/>
            <w:vMerge w:val="continue"/>
            <w:tcBorders>
              <w:top w:val="nil"/>
            </w:tcBorders>
            <w:vAlign w:val="center"/>
          </w:tcPr>
          <w:p w14:paraId="18DA7B1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tcBorders>
            <w:vAlign w:val="center"/>
          </w:tcPr>
          <w:p w14:paraId="0F0B269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4878131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&gt;80%</w:t>
            </w:r>
          </w:p>
        </w:tc>
        <w:tc>
          <w:tcPr>
            <w:tcW w:w="416" w:type="pct"/>
            <w:vAlign w:val="center"/>
          </w:tcPr>
          <w:p w14:paraId="6EBEE3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18"/>
                <w:szCs w:val="18"/>
                <w:highlight w:val="none"/>
              </w:rPr>
            </w:pPr>
            <w:r>
              <w:rPr>
                <w:rFonts w:ascii="仿宋" w:hAnsi="仿宋" w:eastAsia="仿宋" w:cs="仿宋"/>
                <w:color w:val="auto"/>
                <w:spacing w:val="0"/>
                <w:w w:val="100"/>
                <w:position w:val="0"/>
                <w:sz w:val="18"/>
                <w:szCs w:val="18"/>
                <w:highlight w:val="none"/>
              </w:rPr>
              <w:t>10</w:t>
            </w:r>
          </w:p>
        </w:tc>
        <w:tc>
          <w:tcPr>
            <w:tcW w:w="298" w:type="pct"/>
            <w:vMerge w:val="continue"/>
            <w:tcBorders>
              <w:top w:val="nil"/>
            </w:tcBorders>
            <w:vAlign w:val="center"/>
          </w:tcPr>
          <w:p w14:paraId="4D10B53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tcBorders>
            <w:vAlign w:val="center"/>
          </w:tcPr>
          <w:p w14:paraId="10ACC8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tcBorders>
            <w:shd w:val="clear" w:color="auto" w:fill="auto"/>
            <w:vAlign w:val="center"/>
          </w:tcPr>
          <w:p w14:paraId="3D4A1991">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p>
        </w:tc>
        <w:tc>
          <w:tcPr>
            <w:tcW w:w="418" w:type="pct"/>
            <w:tcBorders>
              <w:top w:val="nil"/>
            </w:tcBorders>
            <w:shd w:val="clear" w:color="auto" w:fill="auto"/>
            <w:vAlign w:val="center"/>
          </w:tcPr>
          <w:p w14:paraId="6F1102AD">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18"/>
                <w:szCs w:val="18"/>
                <w:highlight w:val="none"/>
                <w:lang w:val="en-US" w:eastAsia="en-US" w:bidi="ar-SA"/>
              </w:rPr>
            </w:pPr>
          </w:p>
        </w:tc>
        <w:tc>
          <w:tcPr>
            <w:tcW w:w="299" w:type="pct"/>
            <w:vMerge w:val="continue"/>
            <w:tcBorders>
              <w:top w:val="nil"/>
            </w:tcBorders>
            <w:shd w:val="clear" w:color="auto" w:fill="auto"/>
            <w:vAlign w:val="center"/>
          </w:tcPr>
          <w:p w14:paraId="70A00FCA">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tcBorders>
            <w:shd w:val="clear" w:color="auto" w:fill="auto"/>
            <w:vAlign w:val="center"/>
          </w:tcPr>
          <w:p w14:paraId="72BDB945">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4B530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86" w:type="pct"/>
            <w:vMerge w:val="restart"/>
            <w:tcBorders>
              <w:bottom w:val="nil"/>
            </w:tcBorders>
            <w:vAlign w:val="center"/>
          </w:tcPr>
          <w:p w14:paraId="70F176A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生态缓冲带</w:t>
            </w:r>
          </w:p>
        </w:tc>
        <w:tc>
          <w:tcPr>
            <w:tcW w:w="435" w:type="pct"/>
            <w:vAlign w:val="center"/>
          </w:tcPr>
          <w:p w14:paraId="521F797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无</w:t>
            </w:r>
          </w:p>
        </w:tc>
        <w:tc>
          <w:tcPr>
            <w:tcW w:w="398" w:type="pct"/>
            <w:vAlign w:val="center"/>
          </w:tcPr>
          <w:p w14:paraId="289922F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0</w:t>
            </w:r>
          </w:p>
        </w:tc>
        <w:tc>
          <w:tcPr>
            <w:tcW w:w="380" w:type="pct"/>
            <w:vMerge w:val="restart"/>
            <w:tcBorders>
              <w:bottom w:val="nil"/>
            </w:tcBorders>
            <w:vAlign w:val="center"/>
          </w:tcPr>
          <w:p w14:paraId="1B4DEEA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无</w:t>
            </w:r>
          </w:p>
        </w:tc>
        <w:tc>
          <w:tcPr>
            <w:tcW w:w="436" w:type="pct"/>
            <w:vMerge w:val="restart"/>
            <w:tcBorders>
              <w:bottom w:val="nil"/>
            </w:tcBorders>
            <w:vAlign w:val="center"/>
          </w:tcPr>
          <w:p w14:paraId="223E353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0</w:t>
            </w:r>
          </w:p>
        </w:tc>
        <w:tc>
          <w:tcPr>
            <w:tcW w:w="435" w:type="pct"/>
            <w:vAlign w:val="center"/>
          </w:tcPr>
          <w:p w14:paraId="50AB6E8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无</w:t>
            </w:r>
          </w:p>
        </w:tc>
        <w:tc>
          <w:tcPr>
            <w:tcW w:w="416" w:type="pct"/>
            <w:vAlign w:val="center"/>
          </w:tcPr>
          <w:p w14:paraId="64DDA7B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0</w:t>
            </w:r>
          </w:p>
        </w:tc>
        <w:tc>
          <w:tcPr>
            <w:tcW w:w="298" w:type="pct"/>
            <w:vMerge w:val="restart"/>
            <w:tcBorders>
              <w:bottom w:val="nil"/>
            </w:tcBorders>
            <w:vAlign w:val="center"/>
          </w:tcPr>
          <w:p w14:paraId="5B4CD05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无</w:t>
            </w:r>
          </w:p>
        </w:tc>
        <w:tc>
          <w:tcPr>
            <w:tcW w:w="329" w:type="pct"/>
            <w:vMerge w:val="restart"/>
            <w:tcBorders>
              <w:bottom w:val="nil"/>
            </w:tcBorders>
            <w:vAlign w:val="center"/>
          </w:tcPr>
          <w:p w14:paraId="10E4DF0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0</w:t>
            </w:r>
          </w:p>
        </w:tc>
        <w:tc>
          <w:tcPr>
            <w:tcW w:w="436" w:type="pct"/>
            <w:tcBorders>
              <w:bottom w:val="nil"/>
            </w:tcBorders>
            <w:shd w:val="clear" w:color="auto" w:fill="auto"/>
            <w:vAlign w:val="center"/>
          </w:tcPr>
          <w:p w14:paraId="6BBFE797">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无</w:t>
            </w:r>
          </w:p>
        </w:tc>
        <w:tc>
          <w:tcPr>
            <w:tcW w:w="418" w:type="pct"/>
            <w:tcBorders>
              <w:bottom w:val="nil"/>
            </w:tcBorders>
            <w:shd w:val="clear" w:color="auto" w:fill="auto"/>
            <w:vAlign w:val="center"/>
          </w:tcPr>
          <w:p w14:paraId="407FC128">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0</w:t>
            </w:r>
          </w:p>
        </w:tc>
        <w:tc>
          <w:tcPr>
            <w:tcW w:w="299" w:type="pct"/>
            <w:vMerge w:val="restart"/>
            <w:tcBorders>
              <w:bottom w:val="nil"/>
            </w:tcBorders>
            <w:shd w:val="clear" w:color="auto" w:fill="auto"/>
            <w:vAlign w:val="center"/>
          </w:tcPr>
          <w:p w14:paraId="1BFF0B2B">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无</w:t>
            </w:r>
          </w:p>
        </w:tc>
        <w:tc>
          <w:tcPr>
            <w:tcW w:w="329" w:type="pct"/>
            <w:vMerge w:val="restart"/>
            <w:tcBorders>
              <w:bottom w:val="nil"/>
            </w:tcBorders>
            <w:shd w:val="clear" w:color="auto" w:fill="auto"/>
            <w:vAlign w:val="center"/>
          </w:tcPr>
          <w:p w14:paraId="569DE6F7">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0</w:t>
            </w:r>
          </w:p>
        </w:tc>
      </w:tr>
      <w:tr w14:paraId="54030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386" w:type="pct"/>
            <w:vMerge w:val="continue"/>
            <w:tcBorders>
              <w:top w:val="nil"/>
              <w:bottom w:val="nil"/>
            </w:tcBorders>
            <w:vAlign w:val="center"/>
          </w:tcPr>
          <w:p w14:paraId="41650F4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349BD1E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宽度&gt;50m</w:t>
            </w:r>
          </w:p>
        </w:tc>
        <w:tc>
          <w:tcPr>
            <w:tcW w:w="398" w:type="pct"/>
            <w:vAlign w:val="center"/>
          </w:tcPr>
          <w:p w14:paraId="1F4CB00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380" w:type="pct"/>
            <w:vMerge w:val="continue"/>
            <w:tcBorders>
              <w:top w:val="nil"/>
              <w:bottom w:val="nil"/>
            </w:tcBorders>
            <w:vAlign w:val="center"/>
          </w:tcPr>
          <w:p w14:paraId="0F42072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bottom w:val="nil"/>
            </w:tcBorders>
            <w:vAlign w:val="center"/>
          </w:tcPr>
          <w:p w14:paraId="67BFAD3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40A0165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宽度&gt;40m</w:t>
            </w:r>
          </w:p>
        </w:tc>
        <w:tc>
          <w:tcPr>
            <w:tcW w:w="416" w:type="pct"/>
            <w:vAlign w:val="center"/>
          </w:tcPr>
          <w:p w14:paraId="6ED6F47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298" w:type="pct"/>
            <w:vMerge w:val="continue"/>
            <w:tcBorders>
              <w:top w:val="nil"/>
              <w:bottom w:val="nil"/>
            </w:tcBorders>
            <w:vAlign w:val="center"/>
          </w:tcPr>
          <w:p w14:paraId="3D28EA2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bottom w:val="nil"/>
            </w:tcBorders>
            <w:vAlign w:val="center"/>
          </w:tcPr>
          <w:p w14:paraId="29E2445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bottom w:val="nil"/>
            </w:tcBorders>
            <w:shd w:val="clear" w:color="auto" w:fill="auto"/>
            <w:vAlign w:val="center"/>
          </w:tcPr>
          <w:p w14:paraId="79FCAEA9">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宽度&gt;40m</w:t>
            </w:r>
          </w:p>
        </w:tc>
        <w:tc>
          <w:tcPr>
            <w:tcW w:w="418" w:type="pct"/>
            <w:tcBorders>
              <w:top w:val="nil"/>
              <w:bottom w:val="nil"/>
            </w:tcBorders>
            <w:shd w:val="clear" w:color="auto" w:fill="auto"/>
            <w:vAlign w:val="center"/>
          </w:tcPr>
          <w:p w14:paraId="404678B5">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2</w:t>
            </w:r>
          </w:p>
        </w:tc>
        <w:tc>
          <w:tcPr>
            <w:tcW w:w="299" w:type="pct"/>
            <w:vMerge w:val="continue"/>
            <w:tcBorders>
              <w:top w:val="nil"/>
              <w:bottom w:val="nil"/>
            </w:tcBorders>
            <w:shd w:val="clear" w:color="auto" w:fill="auto"/>
            <w:vAlign w:val="center"/>
          </w:tcPr>
          <w:p w14:paraId="662AB348">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bottom w:val="nil"/>
            </w:tcBorders>
            <w:shd w:val="clear" w:color="auto" w:fill="auto"/>
            <w:vAlign w:val="center"/>
          </w:tcPr>
          <w:p w14:paraId="3611AE16">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r w14:paraId="0E787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86" w:type="pct"/>
            <w:vMerge w:val="continue"/>
            <w:tcBorders>
              <w:top w:val="nil"/>
            </w:tcBorders>
            <w:vAlign w:val="center"/>
          </w:tcPr>
          <w:p w14:paraId="1940B53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0194414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宽度≤50m</w:t>
            </w:r>
          </w:p>
        </w:tc>
        <w:tc>
          <w:tcPr>
            <w:tcW w:w="398" w:type="pct"/>
            <w:vAlign w:val="center"/>
          </w:tcPr>
          <w:p w14:paraId="7777842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380" w:type="pct"/>
            <w:vMerge w:val="continue"/>
            <w:tcBorders>
              <w:top w:val="nil"/>
            </w:tcBorders>
            <w:vAlign w:val="center"/>
          </w:tcPr>
          <w:p w14:paraId="3D03C9C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vMerge w:val="continue"/>
            <w:tcBorders>
              <w:top w:val="nil"/>
            </w:tcBorders>
            <w:vAlign w:val="center"/>
          </w:tcPr>
          <w:p w14:paraId="4633828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5" w:type="pct"/>
            <w:vAlign w:val="center"/>
          </w:tcPr>
          <w:p w14:paraId="4A5FDAA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宽度≤40m</w:t>
            </w:r>
          </w:p>
        </w:tc>
        <w:tc>
          <w:tcPr>
            <w:tcW w:w="416" w:type="pct"/>
            <w:vAlign w:val="center"/>
          </w:tcPr>
          <w:p w14:paraId="7CDBF4D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298" w:type="pct"/>
            <w:vMerge w:val="continue"/>
            <w:tcBorders>
              <w:top w:val="nil"/>
            </w:tcBorders>
            <w:vAlign w:val="center"/>
          </w:tcPr>
          <w:p w14:paraId="5FDA58F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329" w:type="pct"/>
            <w:vMerge w:val="continue"/>
            <w:tcBorders>
              <w:top w:val="nil"/>
            </w:tcBorders>
            <w:vAlign w:val="center"/>
          </w:tcPr>
          <w:p w14:paraId="737B702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436" w:type="pct"/>
            <w:tcBorders>
              <w:top w:val="nil"/>
            </w:tcBorders>
            <w:shd w:val="clear" w:color="auto" w:fill="auto"/>
            <w:vAlign w:val="center"/>
          </w:tcPr>
          <w:p w14:paraId="1D30B483">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宽度≤40m</w:t>
            </w:r>
          </w:p>
        </w:tc>
        <w:tc>
          <w:tcPr>
            <w:tcW w:w="418" w:type="pct"/>
            <w:tcBorders>
              <w:top w:val="nil"/>
            </w:tcBorders>
            <w:shd w:val="clear" w:color="auto" w:fill="auto"/>
            <w:vAlign w:val="center"/>
          </w:tcPr>
          <w:p w14:paraId="4B229488">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2</w:t>
            </w:r>
          </w:p>
        </w:tc>
        <w:tc>
          <w:tcPr>
            <w:tcW w:w="299" w:type="pct"/>
            <w:vMerge w:val="continue"/>
            <w:tcBorders>
              <w:top w:val="nil"/>
            </w:tcBorders>
            <w:shd w:val="clear" w:color="auto" w:fill="auto"/>
            <w:vAlign w:val="center"/>
          </w:tcPr>
          <w:p w14:paraId="4BCF2A6D">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c>
          <w:tcPr>
            <w:tcW w:w="329" w:type="pct"/>
            <w:vMerge w:val="continue"/>
            <w:tcBorders>
              <w:top w:val="nil"/>
            </w:tcBorders>
            <w:shd w:val="clear" w:color="auto" w:fill="auto"/>
            <w:vAlign w:val="center"/>
          </w:tcPr>
          <w:p w14:paraId="2D0FD2FB">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Arial" w:hAnsi="Arial" w:eastAsia="Arial" w:cs="Arial"/>
                <w:snapToGrid w:val="0"/>
                <w:color w:val="auto"/>
                <w:spacing w:val="0"/>
                <w:w w:val="100"/>
                <w:kern w:val="0"/>
                <w:position w:val="0"/>
                <w:sz w:val="21"/>
                <w:szCs w:val="21"/>
                <w:highlight w:val="none"/>
                <w:lang w:val="en-US" w:eastAsia="en-US" w:bidi="ar-SA"/>
              </w:rPr>
            </w:pPr>
          </w:p>
        </w:tc>
      </w:tr>
    </w:tbl>
    <w:p w14:paraId="6B6938F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根据西山水库水源保护区实际情况，按照上表对各评估指标分别进行评分，通过计算，非点源Ry为</w:t>
      </w:r>
      <w:r>
        <w:rPr>
          <w:rFonts w:hint="eastAsia" w:ascii="仿宋" w:hAnsi="仿宋" w:eastAsia="仿宋" w:cs="仿宋"/>
          <w:color w:val="auto"/>
          <w:spacing w:val="0"/>
          <w:w w:val="100"/>
          <w:position w:val="0"/>
          <w:sz w:val="28"/>
          <w:szCs w:val="28"/>
          <w:highlight w:val="none"/>
          <w:lang w:val="en-US" w:eastAsia="zh-CN"/>
        </w:rPr>
        <w:t>3</w:t>
      </w:r>
      <w:r>
        <w:rPr>
          <w:rFonts w:ascii="仿宋" w:hAnsi="仿宋" w:eastAsia="仿宋" w:cs="仿宋"/>
          <w:color w:val="auto"/>
          <w:spacing w:val="0"/>
          <w:w w:val="100"/>
          <w:position w:val="0"/>
          <w:sz w:val="28"/>
          <w:szCs w:val="28"/>
          <w:highlight w:val="none"/>
        </w:rPr>
        <w:t>。</w:t>
      </w:r>
    </w:p>
    <w:p w14:paraId="331BF5C7">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522" w:name="_Toc15278"/>
      <w:bookmarkStart w:id="523" w:name="_Toc32465"/>
      <w:r>
        <w:rPr>
          <w:rFonts w:ascii="仿宋" w:hAnsi="仿宋" w:eastAsia="仿宋" w:cs="仿宋"/>
          <w:b/>
          <w:bCs/>
          <w:color w:val="auto"/>
          <w:spacing w:val="0"/>
          <w:w w:val="100"/>
          <w:position w:val="0"/>
          <w:sz w:val="28"/>
          <w:szCs w:val="28"/>
          <w:highlight w:val="none"/>
        </w:rPr>
        <w:t>5.2.4水华风险源辨识</w:t>
      </w:r>
      <w:bookmarkEnd w:id="522"/>
      <w:bookmarkEnd w:id="523"/>
    </w:p>
    <w:p w14:paraId="76DB806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20" w:firstLineChars="200"/>
        <w:jc w:val="both"/>
        <w:textAlignment w:val="baseline"/>
        <w:rPr>
          <w:rFonts w:hint="default" w:ascii="仿宋" w:hAnsi="仿宋" w:eastAsia="仿宋" w:cs="仿宋"/>
          <w:color w:val="auto"/>
          <w:spacing w:val="0"/>
          <w:w w:val="100"/>
          <w:position w:val="0"/>
          <w:sz w:val="28"/>
          <w:szCs w:val="28"/>
          <w:highlight w:val="none"/>
          <w:lang w:val="en-US" w:eastAsia="zh-CN"/>
        </w:rPr>
      </w:pPr>
      <w:r>
        <w:rPr>
          <w:color w:val="auto"/>
          <w:spacing w:val="0"/>
          <w:w w:val="100"/>
          <w:position w:val="0"/>
          <w:highlight w:val="none"/>
        </w:rPr>
        <w:fldChar w:fldCharType="begin"/>
      </w:r>
      <w:r>
        <w:rPr>
          <w:color w:val="auto"/>
          <w:spacing w:val="0"/>
          <w:w w:val="100"/>
          <w:position w:val="0"/>
          <w:highlight w:val="none"/>
        </w:rPr>
        <w:instrText xml:space="preserve"> HYPERLINK "http://www.baidu.com/s?wd=%E6%B0%B4%E5%8D%8E%E7%8E%B0%E8%B1%A1&amp;tn=SE_PcZhidaonwhc_ngpagmjz&amp;rsv_dl=gh_pc_zhidao" </w:instrText>
      </w:r>
      <w:r>
        <w:rPr>
          <w:color w:val="auto"/>
          <w:spacing w:val="0"/>
          <w:w w:val="100"/>
          <w:position w:val="0"/>
          <w:highlight w:val="none"/>
        </w:rPr>
        <w:fldChar w:fldCharType="separate"/>
      </w:r>
      <w:r>
        <w:rPr>
          <w:rFonts w:ascii="仿宋" w:hAnsi="仿宋" w:eastAsia="仿宋" w:cs="仿宋"/>
          <w:color w:val="auto"/>
          <w:spacing w:val="0"/>
          <w:w w:val="100"/>
          <w:position w:val="0"/>
          <w:sz w:val="28"/>
          <w:szCs w:val="28"/>
          <w:highlight w:val="none"/>
        </w:rPr>
        <w:t>水华现象</w:t>
      </w:r>
      <w:r>
        <w:rPr>
          <w:rFonts w:ascii="仿宋" w:hAnsi="仿宋" w:eastAsia="仿宋" w:cs="仿宋"/>
          <w:color w:val="auto"/>
          <w:spacing w:val="0"/>
          <w:w w:val="100"/>
          <w:position w:val="0"/>
          <w:sz w:val="28"/>
          <w:szCs w:val="28"/>
          <w:highlight w:val="none"/>
        </w:rPr>
        <w:fldChar w:fldCharType="end"/>
      </w:r>
      <w:r>
        <w:rPr>
          <w:rFonts w:ascii="仿宋" w:hAnsi="仿宋" w:eastAsia="仿宋" w:cs="仿宋"/>
          <w:color w:val="auto"/>
          <w:spacing w:val="0"/>
          <w:w w:val="100"/>
          <w:position w:val="0"/>
          <w:sz w:val="28"/>
          <w:szCs w:val="28"/>
          <w:highlight w:val="none"/>
        </w:rPr>
        <w:t>发生的首要条件是水华现象生物增殖要达到一定的密度。</w:t>
      </w:r>
      <w:r>
        <w:rPr>
          <w:rFonts w:hint="eastAsia" w:ascii="仿宋" w:hAnsi="仿宋" w:eastAsia="仿宋" w:cs="仿宋"/>
          <w:color w:val="auto"/>
          <w:spacing w:val="0"/>
          <w:w w:val="100"/>
          <w:position w:val="0"/>
          <w:sz w:val="28"/>
          <w:szCs w:val="28"/>
          <w:highlight w:val="none"/>
        </w:rPr>
        <w:t>核心驱动因子：总氮 (TN)、总磷 (TP)，风险源即所有向水体输入氮磷、改变水文水力、破坏水生态、升温促藻生长的人为 + 自然来源</w:t>
      </w:r>
      <w:r>
        <w:rPr>
          <w:rFonts w:ascii="仿宋" w:hAnsi="仿宋" w:eastAsia="仿宋" w:cs="仿宋"/>
          <w:color w:val="auto"/>
          <w:spacing w:val="0"/>
          <w:w w:val="100"/>
          <w:position w:val="0"/>
          <w:sz w:val="28"/>
          <w:szCs w:val="28"/>
          <w:highlight w:val="none"/>
        </w:rPr>
        <w:t>。根据调查资料，未发生过水华灾害，</w:t>
      </w:r>
      <w:r>
        <w:rPr>
          <w:rFonts w:hint="eastAsia" w:ascii="仿宋" w:hAnsi="仿宋" w:eastAsia="仿宋" w:cs="仿宋"/>
          <w:color w:val="auto"/>
          <w:spacing w:val="0"/>
          <w:w w:val="100"/>
          <w:position w:val="0"/>
          <w:sz w:val="28"/>
          <w:szCs w:val="28"/>
          <w:highlight w:val="none"/>
          <w:lang w:val="en-US" w:eastAsia="zh-CN"/>
        </w:rPr>
        <w:t>主要风险源为农业面源污染源。</w:t>
      </w:r>
    </w:p>
    <w:p w14:paraId="6E8EE354">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2"/>
        <w:rPr>
          <w:rFonts w:ascii="仿宋" w:hAnsi="仿宋" w:eastAsia="仿宋" w:cs="仿宋"/>
          <w:color w:val="auto"/>
          <w:spacing w:val="0"/>
          <w:w w:val="100"/>
          <w:position w:val="0"/>
          <w:sz w:val="28"/>
          <w:szCs w:val="28"/>
          <w:highlight w:val="none"/>
        </w:rPr>
      </w:pPr>
      <w:bookmarkStart w:id="524" w:name="_Toc23055"/>
      <w:bookmarkStart w:id="525" w:name="_Toc4162"/>
      <w:r>
        <w:rPr>
          <w:rFonts w:ascii="仿宋" w:hAnsi="仿宋" w:eastAsia="仿宋" w:cs="仿宋"/>
          <w:b/>
          <w:bCs/>
          <w:color w:val="auto"/>
          <w:spacing w:val="0"/>
          <w:w w:val="100"/>
          <w:position w:val="0"/>
          <w:sz w:val="28"/>
          <w:szCs w:val="28"/>
          <w:highlight w:val="none"/>
        </w:rPr>
        <w:t>5.2.5风险源辨识结果</w:t>
      </w:r>
      <w:bookmarkEnd w:id="524"/>
      <w:bookmarkEnd w:id="525"/>
    </w:p>
    <w:p w14:paraId="4C0C4C9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根据上述风险辨识结果，西山水库水源保护区环境风险源项如下表所示。</w:t>
      </w:r>
    </w:p>
    <w:p w14:paraId="1B52A568">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表5-4西山水库水源保护区主要环境风险源统计表</w:t>
      </w:r>
    </w:p>
    <w:tbl>
      <w:tblPr>
        <w:tblStyle w:val="13"/>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27"/>
        <w:gridCol w:w="3515"/>
        <w:gridCol w:w="2934"/>
        <w:gridCol w:w="1043"/>
      </w:tblGrid>
      <w:tr w14:paraId="64D8C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497" w:type="pct"/>
            <w:vAlign w:val="center"/>
          </w:tcPr>
          <w:p w14:paraId="568B3E7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类别</w:t>
            </w:r>
          </w:p>
        </w:tc>
        <w:tc>
          <w:tcPr>
            <w:tcW w:w="2112" w:type="pct"/>
            <w:vAlign w:val="center"/>
          </w:tcPr>
          <w:p w14:paraId="5481660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风险源名称</w:t>
            </w:r>
          </w:p>
        </w:tc>
        <w:tc>
          <w:tcPr>
            <w:tcW w:w="1763" w:type="pct"/>
            <w:vAlign w:val="center"/>
          </w:tcPr>
          <w:p w14:paraId="0F2ED7B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主要风险物质</w:t>
            </w:r>
          </w:p>
        </w:tc>
        <w:tc>
          <w:tcPr>
            <w:tcW w:w="627" w:type="pct"/>
            <w:vAlign w:val="center"/>
          </w:tcPr>
          <w:p w14:paraId="4E0F89A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风险类型</w:t>
            </w:r>
          </w:p>
        </w:tc>
      </w:tr>
      <w:tr w14:paraId="54430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497" w:type="pct"/>
            <w:vAlign w:val="center"/>
          </w:tcPr>
          <w:p w14:paraId="49FF7D6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流动风险源</w:t>
            </w:r>
          </w:p>
        </w:tc>
        <w:tc>
          <w:tcPr>
            <w:tcW w:w="2112" w:type="pct"/>
            <w:vAlign w:val="center"/>
          </w:tcPr>
          <w:p w14:paraId="0E6932C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流域性水环境污染事件（上游出现水质超标情况）</w:t>
            </w:r>
          </w:p>
        </w:tc>
        <w:tc>
          <w:tcPr>
            <w:tcW w:w="1763" w:type="pct"/>
            <w:vAlign w:val="center"/>
          </w:tcPr>
          <w:p w14:paraId="786A3A5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其他污染水源等风险物质</w:t>
            </w:r>
          </w:p>
        </w:tc>
        <w:tc>
          <w:tcPr>
            <w:tcW w:w="627" w:type="pct"/>
            <w:vAlign w:val="center"/>
          </w:tcPr>
          <w:p w14:paraId="2371807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流域性污染</w:t>
            </w:r>
          </w:p>
        </w:tc>
      </w:tr>
      <w:tr w14:paraId="1F6C6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497" w:type="pct"/>
            <w:vMerge w:val="restart"/>
            <w:tcBorders>
              <w:bottom w:val="nil"/>
            </w:tcBorders>
            <w:vAlign w:val="center"/>
          </w:tcPr>
          <w:p w14:paraId="7C42440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非点风险源</w:t>
            </w:r>
          </w:p>
        </w:tc>
        <w:tc>
          <w:tcPr>
            <w:tcW w:w="2112" w:type="pct"/>
            <w:vAlign w:val="center"/>
          </w:tcPr>
          <w:p w14:paraId="4781D26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居民区</w:t>
            </w:r>
          </w:p>
        </w:tc>
        <w:tc>
          <w:tcPr>
            <w:tcW w:w="1763" w:type="pct"/>
            <w:vMerge w:val="restart"/>
            <w:tcBorders>
              <w:bottom w:val="nil"/>
            </w:tcBorders>
            <w:vAlign w:val="center"/>
          </w:tcPr>
          <w:p w14:paraId="53BA431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COD、氨氮、TN、TP</w:t>
            </w:r>
          </w:p>
        </w:tc>
        <w:tc>
          <w:tcPr>
            <w:tcW w:w="627" w:type="pct"/>
            <w:vMerge w:val="restart"/>
            <w:tcBorders>
              <w:bottom w:val="nil"/>
            </w:tcBorders>
            <w:vAlign w:val="center"/>
          </w:tcPr>
          <w:p w14:paraId="4607E1B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流失</w:t>
            </w:r>
          </w:p>
        </w:tc>
      </w:tr>
      <w:tr w14:paraId="12BAB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97" w:type="pct"/>
            <w:vMerge w:val="continue"/>
            <w:tcBorders>
              <w:top w:val="nil"/>
              <w:bottom w:val="nil"/>
            </w:tcBorders>
            <w:vAlign w:val="center"/>
          </w:tcPr>
          <w:p w14:paraId="0F544B3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2112" w:type="pct"/>
            <w:vAlign w:val="center"/>
          </w:tcPr>
          <w:p w14:paraId="141C646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农村居民点</w:t>
            </w:r>
          </w:p>
        </w:tc>
        <w:tc>
          <w:tcPr>
            <w:tcW w:w="1763" w:type="pct"/>
            <w:vMerge w:val="continue"/>
            <w:tcBorders>
              <w:top w:val="nil"/>
              <w:bottom w:val="nil"/>
            </w:tcBorders>
            <w:vAlign w:val="center"/>
          </w:tcPr>
          <w:p w14:paraId="6F680F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27" w:type="pct"/>
            <w:vMerge w:val="continue"/>
            <w:tcBorders>
              <w:top w:val="nil"/>
              <w:bottom w:val="nil"/>
            </w:tcBorders>
            <w:vAlign w:val="center"/>
          </w:tcPr>
          <w:p w14:paraId="542FDC5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r w14:paraId="2DBAF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497" w:type="pct"/>
            <w:vMerge w:val="continue"/>
            <w:tcBorders>
              <w:top w:val="nil"/>
            </w:tcBorders>
            <w:vAlign w:val="center"/>
          </w:tcPr>
          <w:p w14:paraId="7335B65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2112" w:type="pct"/>
            <w:vAlign w:val="center"/>
          </w:tcPr>
          <w:p w14:paraId="0069430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农田及耕地</w:t>
            </w:r>
          </w:p>
        </w:tc>
        <w:tc>
          <w:tcPr>
            <w:tcW w:w="1763" w:type="pct"/>
            <w:vMerge w:val="continue"/>
            <w:tcBorders>
              <w:top w:val="nil"/>
            </w:tcBorders>
            <w:vAlign w:val="center"/>
          </w:tcPr>
          <w:p w14:paraId="5A2DA1D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627" w:type="pct"/>
            <w:vMerge w:val="continue"/>
            <w:tcBorders>
              <w:top w:val="nil"/>
            </w:tcBorders>
            <w:vAlign w:val="center"/>
          </w:tcPr>
          <w:p w14:paraId="232033B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r>
    </w:tbl>
    <w:p w14:paraId="79EBB8AC">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26" w:name="bookmark120"/>
      <w:bookmarkEnd w:id="526"/>
      <w:bookmarkStart w:id="527" w:name="_Toc2069"/>
      <w:bookmarkStart w:id="528" w:name="_Toc27204"/>
      <w:bookmarkStart w:id="529" w:name="_Toc30811"/>
      <w:bookmarkStart w:id="530" w:name="_Toc28176"/>
      <w:bookmarkStart w:id="531" w:name="_Toc26070"/>
      <w:bookmarkStart w:id="532" w:name="_Toc13179"/>
      <w:r>
        <w:rPr>
          <w:rFonts w:ascii="仿宋" w:hAnsi="仿宋" w:eastAsia="仿宋" w:cs="仿宋"/>
          <w:b/>
          <w:bCs/>
          <w:color w:val="auto"/>
          <w:spacing w:val="0"/>
          <w:w w:val="100"/>
          <w:position w:val="0"/>
          <w:sz w:val="31"/>
          <w:szCs w:val="31"/>
          <w:highlight w:val="none"/>
        </w:rPr>
        <w:t>5.3环境风险源评估</w:t>
      </w:r>
      <w:bookmarkEnd w:id="527"/>
      <w:bookmarkEnd w:id="528"/>
      <w:bookmarkEnd w:id="529"/>
      <w:bookmarkEnd w:id="530"/>
      <w:bookmarkEnd w:id="531"/>
      <w:bookmarkEnd w:id="532"/>
    </w:p>
    <w:p w14:paraId="19B5734B">
      <w:pPr>
        <w:keepNext w:val="0"/>
        <w:keepLines w:val="0"/>
        <w:pageBreakBefore w:val="0"/>
        <w:widowControl/>
        <w:kinsoku/>
        <w:wordWrap/>
        <w:overflowPunct/>
        <w:topLinePunct w:val="0"/>
        <w:autoSpaceDE w:val="0"/>
        <w:autoSpaceDN w:val="0"/>
        <w:bidi w:val="0"/>
        <w:adjustRightInd w:val="0"/>
        <w:snapToGrid w:val="0"/>
        <w:spacing w:line="360" w:lineRule="auto"/>
        <w:ind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根据《集中式饮用水水源地环境保护指南（试行）》：一般来说，环境风险值的可接受程度分别以R</w:t>
      </w:r>
      <w:r>
        <w:rPr>
          <w:rFonts w:ascii="仿宋" w:hAnsi="仿宋" w:eastAsia="仿宋" w:cs="仿宋"/>
          <w:color w:val="auto"/>
          <w:spacing w:val="0"/>
          <w:w w:val="100"/>
          <w:position w:val="0"/>
          <w:sz w:val="13"/>
          <w:szCs w:val="13"/>
          <w:highlight w:val="none"/>
        </w:rPr>
        <w:t>p</w:t>
      </w:r>
      <w:r>
        <w:rPr>
          <w:rFonts w:ascii="仿宋" w:hAnsi="仿宋" w:eastAsia="仿宋" w:cs="仿宋"/>
          <w:color w:val="auto"/>
          <w:spacing w:val="0"/>
          <w:w w:val="100"/>
          <w:position w:val="0"/>
          <w:sz w:val="28"/>
          <w:szCs w:val="28"/>
          <w:highlight w:val="none"/>
        </w:rPr>
        <w:t>（或R</w:t>
      </w:r>
      <w:r>
        <w:rPr>
          <w:rFonts w:ascii="仿宋" w:hAnsi="仿宋" w:eastAsia="仿宋" w:cs="仿宋"/>
          <w:color w:val="auto"/>
          <w:spacing w:val="0"/>
          <w:w w:val="100"/>
          <w:position w:val="0"/>
          <w:sz w:val="13"/>
          <w:szCs w:val="13"/>
          <w:highlight w:val="none"/>
        </w:rPr>
        <w:t>f</w:t>
      </w:r>
      <w:r>
        <w:rPr>
          <w:rFonts w:ascii="仿宋" w:hAnsi="仿宋" w:eastAsia="仿宋" w:cs="仿宋"/>
          <w:color w:val="auto"/>
          <w:spacing w:val="0"/>
          <w:w w:val="100"/>
          <w:position w:val="0"/>
          <w:sz w:val="28"/>
          <w:szCs w:val="28"/>
          <w:highlight w:val="none"/>
        </w:rPr>
        <w:t>、R</w:t>
      </w:r>
      <w:r>
        <w:rPr>
          <w:rFonts w:ascii="仿宋" w:hAnsi="仿宋" w:eastAsia="仿宋" w:cs="仿宋"/>
          <w:color w:val="auto"/>
          <w:spacing w:val="0"/>
          <w:w w:val="100"/>
          <w:position w:val="0"/>
          <w:sz w:val="13"/>
          <w:szCs w:val="13"/>
          <w:highlight w:val="none"/>
        </w:rPr>
        <w:t>y</w:t>
      </w:r>
      <w:r>
        <w:rPr>
          <w:rFonts w:ascii="仿宋" w:hAnsi="仿宋" w:eastAsia="仿宋" w:cs="仿宋"/>
          <w:color w:val="auto"/>
          <w:spacing w:val="0"/>
          <w:w w:val="100"/>
          <w:position w:val="0"/>
          <w:sz w:val="28"/>
          <w:szCs w:val="28"/>
          <w:highlight w:val="none"/>
        </w:rPr>
        <w:t>）≤3作为背景值，当风险值超过此限应按照《集中式地表水饮用水水源地环境应急管理工作指南（试行）》采取风险防范措施；当7&lt;R</w:t>
      </w:r>
      <w:r>
        <w:rPr>
          <w:rFonts w:ascii="仿宋" w:hAnsi="仿宋" w:eastAsia="仿宋" w:cs="仿宋"/>
          <w:color w:val="auto"/>
          <w:spacing w:val="0"/>
          <w:w w:val="100"/>
          <w:position w:val="0"/>
          <w:sz w:val="13"/>
          <w:szCs w:val="13"/>
          <w:highlight w:val="none"/>
        </w:rPr>
        <w:t>p</w:t>
      </w:r>
      <w:r>
        <w:rPr>
          <w:rFonts w:ascii="仿宋" w:hAnsi="仿宋" w:eastAsia="仿宋" w:cs="仿宋"/>
          <w:color w:val="auto"/>
          <w:spacing w:val="0"/>
          <w:w w:val="100"/>
          <w:position w:val="0"/>
          <w:sz w:val="28"/>
          <w:szCs w:val="28"/>
          <w:highlight w:val="none"/>
        </w:rPr>
        <w:t>（或R</w:t>
      </w:r>
      <w:r>
        <w:rPr>
          <w:rFonts w:ascii="仿宋" w:hAnsi="仿宋" w:eastAsia="仿宋" w:cs="仿宋"/>
          <w:color w:val="auto"/>
          <w:spacing w:val="0"/>
          <w:w w:val="100"/>
          <w:position w:val="0"/>
          <w:sz w:val="13"/>
          <w:szCs w:val="13"/>
          <w:highlight w:val="none"/>
        </w:rPr>
        <w:t>f</w:t>
      </w:r>
      <w:r>
        <w:rPr>
          <w:rFonts w:ascii="仿宋" w:hAnsi="仿宋" w:eastAsia="仿宋" w:cs="仿宋"/>
          <w:color w:val="auto"/>
          <w:spacing w:val="0"/>
          <w:w w:val="100"/>
          <w:position w:val="0"/>
          <w:sz w:val="28"/>
          <w:szCs w:val="28"/>
          <w:highlight w:val="none"/>
        </w:rPr>
        <w:t>、R</w:t>
      </w:r>
      <w:r>
        <w:rPr>
          <w:rFonts w:ascii="仿宋" w:hAnsi="仿宋" w:eastAsia="仿宋" w:cs="仿宋"/>
          <w:color w:val="auto"/>
          <w:spacing w:val="0"/>
          <w:w w:val="100"/>
          <w:position w:val="0"/>
          <w:sz w:val="13"/>
          <w:szCs w:val="13"/>
          <w:highlight w:val="none"/>
        </w:rPr>
        <w:t>y</w:t>
      </w:r>
      <w:r>
        <w:rPr>
          <w:rFonts w:ascii="仿宋" w:hAnsi="仿宋" w:eastAsia="仿宋" w:cs="仿宋"/>
          <w:color w:val="auto"/>
          <w:spacing w:val="0"/>
          <w:w w:val="100"/>
          <w:position w:val="0"/>
          <w:sz w:val="28"/>
          <w:szCs w:val="28"/>
          <w:highlight w:val="none"/>
        </w:rPr>
        <w:t>）≤9时，应采取风险预警措施；当</w:t>
      </w:r>
      <w:r>
        <w:rPr>
          <w:rFonts w:ascii="仿宋" w:hAnsi="仿宋" w:eastAsia="仿宋" w:cs="仿宋"/>
          <w:color w:val="auto"/>
          <w:spacing w:val="0"/>
          <w:w w:val="100"/>
          <w:position w:val="0"/>
          <w:sz w:val="28"/>
          <w:szCs w:val="28"/>
          <w:highlight w:val="none"/>
        </w:rPr>
        <w:tab/>
      </w:r>
      <w:r>
        <w:rPr>
          <w:rFonts w:ascii="仿宋" w:hAnsi="仿宋" w:eastAsia="仿宋" w:cs="仿宋"/>
          <w:color w:val="auto"/>
          <w:spacing w:val="0"/>
          <w:w w:val="100"/>
          <w:position w:val="0"/>
          <w:sz w:val="28"/>
          <w:szCs w:val="28"/>
          <w:highlight w:val="none"/>
        </w:rPr>
        <w:t>R</w:t>
      </w:r>
      <w:r>
        <w:rPr>
          <w:rFonts w:ascii="仿宋" w:hAnsi="仿宋" w:eastAsia="仿宋" w:cs="仿宋"/>
          <w:color w:val="auto"/>
          <w:spacing w:val="0"/>
          <w:w w:val="100"/>
          <w:position w:val="0"/>
          <w:sz w:val="13"/>
          <w:szCs w:val="13"/>
          <w:highlight w:val="none"/>
        </w:rPr>
        <w:t>p</w:t>
      </w:r>
      <w:r>
        <w:rPr>
          <w:rFonts w:ascii="仿宋" w:hAnsi="仿宋" w:eastAsia="仿宋" w:cs="仿宋"/>
          <w:color w:val="auto"/>
          <w:spacing w:val="0"/>
          <w:w w:val="100"/>
          <w:position w:val="0"/>
          <w:sz w:val="28"/>
          <w:szCs w:val="28"/>
          <w:highlight w:val="none"/>
        </w:rPr>
        <w:t>（或R</w:t>
      </w:r>
      <w:r>
        <w:rPr>
          <w:rFonts w:ascii="仿宋" w:hAnsi="仿宋" w:eastAsia="仿宋" w:cs="仿宋"/>
          <w:color w:val="auto"/>
          <w:spacing w:val="0"/>
          <w:w w:val="100"/>
          <w:position w:val="0"/>
          <w:sz w:val="13"/>
          <w:szCs w:val="13"/>
          <w:highlight w:val="none"/>
        </w:rPr>
        <w:t>f</w:t>
      </w:r>
      <w:r>
        <w:rPr>
          <w:rFonts w:ascii="仿宋" w:hAnsi="仿宋" w:eastAsia="仿宋" w:cs="仿宋"/>
          <w:color w:val="auto"/>
          <w:spacing w:val="0"/>
          <w:w w:val="100"/>
          <w:position w:val="0"/>
          <w:sz w:val="28"/>
          <w:szCs w:val="28"/>
          <w:highlight w:val="none"/>
        </w:rPr>
        <w:t>、R</w:t>
      </w:r>
      <w:r>
        <w:rPr>
          <w:rFonts w:ascii="仿宋" w:hAnsi="仿宋" w:eastAsia="仿宋" w:cs="仿宋"/>
          <w:color w:val="auto"/>
          <w:spacing w:val="0"/>
          <w:w w:val="100"/>
          <w:position w:val="0"/>
          <w:sz w:val="13"/>
          <w:szCs w:val="13"/>
          <w:highlight w:val="none"/>
        </w:rPr>
        <w:t>y</w:t>
      </w:r>
      <w:r>
        <w:rPr>
          <w:rFonts w:ascii="仿宋" w:hAnsi="仿宋" w:eastAsia="仿宋" w:cs="仿宋"/>
          <w:color w:val="auto"/>
          <w:spacing w:val="0"/>
          <w:w w:val="100"/>
          <w:position w:val="0"/>
          <w:sz w:val="28"/>
          <w:szCs w:val="28"/>
          <w:highlight w:val="none"/>
        </w:rPr>
        <w:t>）&gt;9时，应采取风险应急措施。经分析，西山水库水源保护区固定源、流动源、非点源评分分别为R</w:t>
      </w:r>
      <w:r>
        <w:rPr>
          <w:rFonts w:ascii="仿宋" w:hAnsi="仿宋" w:eastAsia="仿宋" w:cs="仿宋"/>
          <w:color w:val="auto"/>
          <w:spacing w:val="0"/>
          <w:w w:val="100"/>
          <w:position w:val="0"/>
          <w:sz w:val="13"/>
          <w:szCs w:val="13"/>
          <w:highlight w:val="none"/>
        </w:rPr>
        <w:t>p</w:t>
      </w:r>
      <w:r>
        <w:rPr>
          <w:rFonts w:ascii="仿宋" w:hAnsi="仿宋" w:eastAsia="仿宋" w:cs="仿宋"/>
          <w:color w:val="auto"/>
          <w:spacing w:val="0"/>
          <w:w w:val="100"/>
          <w:position w:val="0"/>
          <w:sz w:val="28"/>
          <w:szCs w:val="28"/>
          <w:highlight w:val="none"/>
        </w:rPr>
        <w:t>=0、R</w:t>
      </w:r>
      <w:r>
        <w:rPr>
          <w:rFonts w:ascii="仿宋" w:hAnsi="仿宋" w:eastAsia="仿宋" w:cs="仿宋"/>
          <w:color w:val="auto"/>
          <w:spacing w:val="0"/>
          <w:w w:val="100"/>
          <w:position w:val="0"/>
          <w:sz w:val="13"/>
          <w:szCs w:val="13"/>
          <w:highlight w:val="none"/>
        </w:rPr>
        <w:t>f</w:t>
      </w:r>
      <w:r>
        <w:rPr>
          <w:rFonts w:ascii="仿宋" w:hAnsi="仿宋" w:eastAsia="仿宋" w:cs="仿宋"/>
          <w:color w:val="auto"/>
          <w:spacing w:val="0"/>
          <w:w w:val="100"/>
          <w:position w:val="0"/>
          <w:sz w:val="28"/>
          <w:szCs w:val="28"/>
          <w:highlight w:val="none"/>
        </w:rPr>
        <w:t>=</w:t>
      </w:r>
      <w:r>
        <w:rPr>
          <w:rFonts w:hint="eastAsia" w:ascii="仿宋" w:hAnsi="仿宋" w:eastAsia="仿宋" w:cs="仿宋"/>
          <w:color w:val="auto"/>
          <w:spacing w:val="0"/>
          <w:w w:val="100"/>
          <w:position w:val="0"/>
          <w:sz w:val="28"/>
          <w:szCs w:val="28"/>
          <w:highlight w:val="none"/>
          <w:lang w:val="en-US" w:eastAsia="zh-CN"/>
        </w:rPr>
        <w:t>15</w:t>
      </w:r>
      <w:r>
        <w:rPr>
          <w:rFonts w:ascii="仿宋" w:hAnsi="仿宋" w:eastAsia="仿宋" w:cs="仿宋"/>
          <w:color w:val="auto"/>
          <w:spacing w:val="0"/>
          <w:w w:val="100"/>
          <w:position w:val="0"/>
          <w:sz w:val="28"/>
          <w:szCs w:val="28"/>
          <w:highlight w:val="none"/>
        </w:rPr>
        <w:t>、R</w:t>
      </w:r>
      <w:r>
        <w:rPr>
          <w:rFonts w:ascii="仿宋" w:hAnsi="仿宋" w:eastAsia="仿宋" w:cs="仿宋"/>
          <w:color w:val="auto"/>
          <w:spacing w:val="0"/>
          <w:w w:val="100"/>
          <w:position w:val="0"/>
          <w:sz w:val="13"/>
          <w:szCs w:val="13"/>
          <w:highlight w:val="none"/>
        </w:rPr>
        <w:t>y</w:t>
      </w:r>
      <w:r>
        <w:rPr>
          <w:rFonts w:ascii="仿宋" w:hAnsi="仿宋" w:eastAsia="仿宋" w:cs="仿宋"/>
          <w:color w:val="auto"/>
          <w:spacing w:val="0"/>
          <w:w w:val="100"/>
          <w:position w:val="0"/>
          <w:sz w:val="28"/>
          <w:szCs w:val="28"/>
          <w:highlight w:val="none"/>
        </w:rPr>
        <w:t>=</w:t>
      </w:r>
      <w:r>
        <w:rPr>
          <w:rFonts w:hint="eastAsia" w:ascii="仿宋" w:hAnsi="仿宋" w:eastAsia="仿宋" w:cs="仿宋"/>
          <w:color w:val="auto"/>
          <w:spacing w:val="0"/>
          <w:w w:val="100"/>
          <w:position w:val="0"/>
          <w:sz w:val="28"/>
          <w:szCs w:val="28"/>
          <w:highlight w:val="none"/>
          <w:lang w:val="en-US" w:eastAsia="zh-CN"/>
        </w:rPr>
        <w:t>3</w:t>
      </w:r>
      <w:r>
        <w:rPr>
          <w:rFonts w:ascii="仿宋" w:hAnsi="仿宋" w:eastAsia="仿宋" w:cs="仿宋"/>
          <w:color w:val="auto"/>
          <w:spacing w:val="0"/>
          <w:w w:val="100"/>
          <w:position w:val="0"/>
          <w:sz w:val="28"/>
          <w:szCs w:val="28"/>
          <w:highlight w:val="none"/>
        </w:rPr>
        <w:t>，表明西山水库水源保护区固定源</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非点源</w:t>
      </w:r>
      <w:r>
        <w:rPr>
          <w:rFonts w:ascii="仿宋" w:hAnsi="仿宋" w:eastAsia="仿宋" w:cs="仿宋"/>
          <w:color w:val="auto"/>
          <w:spacing w:val="0"/>
          <w:w w:val="100"/>
          <w:position w:val="0"/>
          <w:sz w:val="28"/>
          <w:szCs w:val="28"/>
          <w:highlight w:val="none"/>
        </w:rPr>
        <w:t>风险在可接受风险水平内</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流动源应采取风险应急措施</w:t>
      </w:r>
      <w:r>
        <w:rPr>
          <w:rFonts w:ascii="仿宋" w:hAnsi="仿宋" w:eastAsia="仿宋" w:cs="仿宋"/>
          <w:color w:val="auto"/>
          <w:spacing w:val="0"/>
          <w:w w:val="100"/>
          <w:position w:val="0"/>
          <w:sz w:val="28"/>
          <w:szCs w:val="28"/>
          <w:highlight w:val="none"/>
        </w:rPr>
        <w:t>。</w:t>
      </w:r>
    </w:p>
    <w:p w14:paraId="759BB8AC">
      <w:pPr>
        <w:keepNext w:val="0"/>
        <w:keepLines w:val="0"/>
        <w:pageBreakBefore w:val="0"/>
        <w:widowControl/>
        <w:kinsoku/>
        <w:wordWrap/>
        <w:overflowPunct/>
        <w:topLinePunct w:val="0"/>
        <w:autoSpaceDE w:val="0"/>
        <w:autoSpaceDN w:val="0"/>
        <w:bidi w:val="0"/>
        <w:adjustRightInd w:val="0"/>
        <w:snapToGrid w:val="0"/>
        <w:spacing w:line="360" w:lineRule="auto"/>
        <w:ind w:right="0" w:firstLine="560" w:firstLineChars="200"/>
        <w:jc w:val="left"/>
        <w:textAlignment w:val="baseline"/>
        <w:rPr>
          <w:rFonts w:ascii="仿宋" w:hAnsi="仿宋" w:eastAsia="仿宋" w:cs="仿宋"/>
          <w:color w:val="auto"/>
          <w:spacing w:val="0"/>
          <w:w w:val="100"/>
          <w:position w:val="0"/>
          <w:sz w:val="28"/>
          <w:szCs w:val="28"/>
          <w:highlight w:val="none"/>
        </w:rPr>
        <w:sectPr>
          <w:footerReference r:id="rId11" w:type="default"/>
          <w:pgSz w:w="11912" w:h="16841"/>
          <w:pgMar w:top="1440" w:right="1800" w:bottom="1440" w:left="1800" w:header="0" w:footer="1034" w:gutter="0"/>
          <w:pgNumType w:fmt="decimal"/>
          <w:cols w:space="720" w:num="1"/>
        </w:sectPr>
      </w:pPr>
    </w:p>
    <w:p w14:paraId="27869BCA">
      <w:pPr>
        <w:keepNext w:val="0"/>
        <w:keepLines w:val="0"/>
        <w:pageBreakBefore w:val="0"/>
        <w:widowControl/>
        <w:kinsoku/>
        <w:wordWrap/>
        <w:overflowPunct/>
        <w:topLinePunct w:val="0"/>
        <w:autoSpaceDE w:val="0"/>
        <w:autoSpaceDN w:val="0"/>
        <w:bidi w:val="0"/>
        <w:adjustRightInd w:val="0"/>
        <w:snapToGrid w:val="0"/>
        <w:spacing w:before="88" w:line="221" w:lineRule="auto"/>
        <w:ind w:left="1022"/>
        <w:outlineLvl w:val="0"/>
        <w:rPr>
          <w:rFonts w:ascii="仿宋" w:hAnsi="仿宋" w:eastAsia="仿宋" w:cs="仿宋"/>
          <w:color w:val="auto"/>
          <w:spacing w:val="0"/>
          <w:w w:val="100"/>
          <w:position w:val="0"/>
          <w:sz w:val="43"/>
          <w:szCs w:val="43"/>
          <w:highlight w:val="none"/>
        </w:rPr>
      </w:pPr>
      <w:bookmarkStart w:id="533" w:name="bookmark121"/>
      <w:bookmarkEnd w:id="533"/>
      <w:bookmarkStart w:id="534" w:name="_Toc27769"/>
      <w:bookmarkStart w:id="535" w:name="_Toc18070"/>
      <w:bookmarkStart w:id="536" w:name="_Toc4310"/>
      <w:bookmarkStart w:id="537" w:name="_Toc23394"/>
      <w:bookmarkStart w:id="538" w:name="_Toc8220"/>
      <w:bookmarkStart w:id="539" w:name="_Toc12343"/>
      <w:r>
        <w:rPr>
          <w:rFonts w:ascii="仿宋" w:hAnsi="仿宋" w:eastAsia="仿宋" w:cs="仿宋"/>
          <w:b/>
          <w:bCs/>
          <w:color w:val="auto"/>
          <w:spacing w:val="0"/>
          <w:w w:val="100"/>
          <w:position w:val="0"/>
          <w:sz w:val="43"/>
          <w:szCs w:val="43"/>
          <w:highlight w:val="none"/>
        </w:rPr>
        <w:t>6环境风险防控与应急措施差距分析</w:t>
      </w:r>
      <w:bookmarkEnd w:id="534"/>
      <w:bookmarkEnd w:id="535"/>
      <w:bookmarkEnd w:id="536"/>
      <w:bookmarkEnd w:id="537"/>
      <w:bookmarkEnd w:id="538"/>
      <w:bookmarkEnd w:id="539"/>
    </w:p>
    <w:p w14:paraId="343EFBA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p>
    <w:p w14:paraId="569A3CF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本次评估将从环境风险管理制度、环境风险防控及应急措施、环境应急资源等方面，对现有环境风险防控与应急措施的完备性、可靠性和有效性进行分析论证，提出需要整改内容。</w:t>
      </w:r>
    </w:p>
    <w:p w14:paraId="28022812">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40" w:name="bookmark122"/>
      <w:bookmarkEnd w:id="540"/>
      <w:bookmarkStart w:id="541" w:name="_Toc23001"/>
      <w:bookmarkStart w:id="542" w:name="_Toc23728"/>
      <w:bookmarkStart w:id="543" w:name="_Toc23371"/>
      <w:bookmarkStart w:id="544" w:name="_Toc30151"/>
      <w:bookmarkStart w:id="545" w:name="_Toc1282"/>
      <w:bookmarkStart w:id="546" w:name="_Toc28528"/>
      <w:r>
        <w:rPr>
          <w:rFonts w:ascii="仿宋" w:hAnsi="仿宋" w:eastAsia="仿宋" w:cs="仿宋"/>
          <w:b/>
          <w:bCs/>
          <w:color w:val="auto"/>
          <w:spacing w:val="0"/>
          <w:w w:val="100"/>
          <w:position w:val="0"/>
          <w:sz w:val="31"/>
          <w:szCs w:val="31"/>
          <w:highlight w:val="none"/>
        </w:rPr>
        <w:t>6.1现有防控措施</w:t>
      </w:r>
      <w:bookmarkEnd w:id="541"/>
      <w:bookmarkEnd w:id="542"/>
      <w:bookmarkEnd w:id="543"/>
      <w:bookmarkEnd w:id="544"/>
      <w:bookmarkEnd w:id="545"/>
      <w:bookmarkEnd w:id="546"/>
    </w:p>
    <w:p w14:paraId="5A7B301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7"/>
          <w:szCs w:val="27"/>
          <w:highlight w:val="none"/>
        </w:rPr>
      </w:pPr>
      <w:r>
        <w:rPr>
          <w:rFonts w:ascii="仿宋" w:hAnsi="仿宋" w:eastAsia="仿宋" w:cs="仿宋"/>
          <w:color w:val="auto"/>
          <w:spacing w:val="0"/>
          <w:w w:val="100"/>
          <w:position w:val="0"/>
          <w:sz w:val="28"/>
          <w:szCs w:val="28"/>
          <w:highlight w:val="none"/>
        </w:rPr>
        <w:t>根据水源地</w:t>
      </w:r>
      <w:r>
        <w:rPr>
          <w:rFonts w:ascii="仿宋" w:hAnsi="仿宋" w:eastAsia="仿宋" w:cs="仿宋"/>
          <w:color w:val="auto"/>
          <w:spacing w:val="0"/>
          <w:w w:val="100"/>
          <w:position w:val="0"/>
          <w:sz w:val="27"/>
          <w:szCs w:val="27"/>
          <w:highlight w:val="none"/>
        </w:rPr>
        <w:t>实际现状，现场调查等，西山水库饮用水源保护区现有应急措施如表6-1。</w:t>
      </w:r>
    </w:p>
    <w:p w14:paraId="0160C2B4">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表6-1西山水库饮用水源保护区现有应急措施一览表</w:t>
      </w:r>
    </w:p>
    <w:p w14:paraId="1095448A">
      <w:pPr>
        <w:keepNext w:val="0"/>
        <w:keepLines w:val="0"/>
        <w:pageBreakBefore w:val="0"/>
        <w:widowControl/>
        <w:kinsoku/>
        <w:wordWrap/>
        <w:overflowPunct/>
        <w:topLinePunct w:val="0"/>
        <w:autoSpaceDE w:val="0"/>
        <w:autoSpaceDN w:val="0"/>
        <w:bidi w:val="0"/>
        <w:adjustRightInd w:val="0"/>
        <w:snapToGrid w:val="0"/>
        <w:spacing w:line="52" w:lineRule="exact"/>
        <w:rPr>
          <w:color w:val="auto"/>
          <w:spacing w:val="0"/>
          <w:w w:val="100"/>
          <w:position w:val="0"/>
          <w:highlight w:val="none"/>
        </w:rPr>
      </w:pPr>
    </w:p>
    <w:tbl>
      <w:tblPr>
        <w:tblStyle w:val="13"/>
        <w:tblW w:w="878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7"/>
        <w:gridCol w:w="2053"/>
        <w:gridCol w:w="5913"/>
      </w:tblGrid>
      <w:tr w14:paraId="0FFA2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 w:hRule="atLeast"/>
        </w:trPr>
        <w:tc>
          <w:tcPr>
            <w:tcW w:w="817" w:type="dxa"/>
            <w:vAlign w:val="center"/>
          </w:tcPr>
          <w:p w14:paraId="01B7EA9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7"/>
                <w:szCs w:val="27"/>
                <w:highlight w:val="none"/>
              </w:rPr>
            </w:pPr>
            <w:r>
              <w:rPr>
                <w:rFonts w:ascii="仿宋" w:hAnsi="仿宋" w:eastAsia="仿宋" w:cs="仿宋"/>
                <w:color w:val="auto"/>
                <w:spacing w:val="0"/>
                <w:w w:val="100"/>
                <w:position w:val="0"/>
                <w:sz w:val="27"/>
                <w:szCs w:val="27"/>
                <w:highlight w:val="none"/>
              </w:rPr>
              <w:t>序号</w:t>
            </w:r>
          </w:p>
        </w:tc>
        <w:tc>
          <w:tcPr>
            <w:tcW w:w="2053" w:type="dxa"/>
            <w:vAlign w:val="center"/>
          </w:tcPr>
          <w:p w14:paraId="7957001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7"/>
                <w:szCs w:val="27"/>
                <w:highlight w:val="none"/>
              </w:rPr>
            </w:pPr>
            <w:r>
              <w:rPr>
                <w:rFonts w:ascii="仿宋" w:hAnsi="仿宋" w:eastAsia="仿宋" w:cs="仿宋"/>
                <w:color w:val="auto"/>
                <w:spacing w:val="0"/>
                <w:w w:val="100"/>
                <w:position w:val="0"/>
                <w:sz w:val="27"/>
                <w:szCs w:val="27"/>
                <w:highlight w:val="none"/>
              </w:rPr>
              <w:t>类型</w:t>
            </w:r>
          </w:p>
        </w:tc>
        <w:tc>
          <w:tcPr>
            <w:tcW w:w="5913" w:type="dxa"/>
            <w:vAlign w:val="center"/>
          </w:tcPr>
          <w:p w14:paraId="3AC148B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7"/>
                <w:szCs w:val="27"/>
                <w:highlight w:val="none"/>
              </w:rPr>
            </w:pPr>
            <w:r>
              <w:rPr>
                <w:rFonts w:ascii="仿宋" w:hAnsi="仿宋" w:eastAsia="仿宋" w:cs="仿宋"/>
                <w:color w:val="auto"/>
                <w:spacing w:val="0"/>
                <w:w w:val="100"/>
                <w:position w:val="0"/>
                <w:sz w:val="27"/>
                <w:szCs w:val="27"/>
                <w:highlight w:val="none"/>
              </w:rPr>
              <w:t>实际情况</w:t>
            </w:r>
          </w:p>
        </w:tc>
      </w:tr>
      <w:tr w14:paraId="206E3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817" w:type="dxa"/>
            <w:vAlign w:val="center"/>
          </w:tcPr>
          <w:p w14:paraId="01263B8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1</w:t>
            </w:r>
          </w:p>
        </w:tc>
        <w:tc>
          <w:tcPr>
            <w:tcW w:w="2053" w:type="dxa"/>
            <w:vAlign w:val="center"/>
          </w:tcPr>
          <w:p w14:paraId="23EC759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饮用水水源保护区常规措施</w:t>
            </w:r>
          </w:p>
        </w:tc>
        <w:tc>
          <w:tcPr>
            <w:tcW w:w="5913" w:type="dxa"/>
            <w:vAlign w:val="center"/>
          </w:tcPr>
          <w:p w14:paraId="149C53B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西山水库饮用水水源保护区已设置相关的标识标牌，且设置了相关的围挡。</w:t>
            </w:r>
          </w:p>
        </w:tc>
      </w:tr>
      <w:tr w14:paraId="22363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17" w:type="dxa"/>
            <w:vAlign w:val="center"/>
          </w:tcPr>
          <w:p w14:paraId="1260C98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w:t>
            </w:r>
          </w:p>
        </w:tc>
        <w:tc>
          <w:tcPr>
            <w:tcW w:w="2053" w:type="dxa"/>
            <w:vAlign w:val="center"/>
          </w:tcPr>
          <w:p w14:paraId="49C3ECC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陆路运输防范情况</w:t>
            </w:r>
          </w:p>
        </w:tc>
        <w:tc>
          <w:tcPr>
            <w:tcW w:w="5913" w:type="dxa"/>
            <w:vAlign w:val="center"/>
          </w:tcPr>
          <w:p w14:paraId="6FDC306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在饮用水水源一级保护区内，禁止或严格限制公路运输有毒有害物质。饮用水水源二级保护区内，不得建设服务站、加油站，严格限制运输有毒有害物质。</w:t>
            </w:r>
          </w:p>
          <w:p w14:paraId="042AFB8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根据水源地保护区的不同级别，对公路运输的物品及所用车辆进行限制性通行。</w:t>
            </w:r>
          </w:p>
          <w:p w14:paraId="4EB2D7B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①车辆限行</w:t>
            </w:r>
          </w:p>
          <w:p w14:paraId="0DE2D15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限制各种容易泄露、散装、超载车辆上路，在公路和跨线桥两侧设置警示牌或限速牌。</w:t>
            </w:r>
          </w:p>
          <w:p w14:paraId="3D5779B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②设置防护墙（栏）</w:t>
            </w:r>
          </w:p>
          <w:p w14:paraId="5F9885E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对存在危险品运输公路和跨线桥应设置防护墙（栏）等安全隔离防护设施，修建应急收集池（沟），必要时可设置小型净化池。</w:t>
            </w:r>
          </w:p>
          <w:p w14:paraId="4E8A302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③污水处理</w:t>
            </w:r>
            <w:r>
              <w:rPr>
                <w:rFonts w:hint="eastAsia" w:ascii="仿宋" w:hAnsi="仿宋" w:eastAsia="仿宋" w:cs="仿宋"/>
                <w:color w:val="auto"/>
                <w:spacing w:val="0"/>
                <w:w w:val="100"/>
                <w:position w:val="0"/>
                <w:sz w:val="24"/>
                <w:szCs w:val="24"/>
                <w:highlight w:val="none"/>
                <w:lang w:eastAsia="zh-CN"/>
              </w:rPr>
              <w:t>设施</w:t>
            </w:r>
          </w:p>
          <w:p w14:paraId="7808958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在公路沿线设置的管理区、养护工区、服务区等的生活污水应经处理达标后排放。</w:t>
            </w:r>
          </w:p>
        </w:tc>
      </w:tr>
      <w:tr w14:paraId="3DE57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817" w:type="dxa"/>
            <w:vAlign w:val="center"/>
          </w:tcPr>
          <w:p w14:paraId="1065069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3</w:t>
            </w:r>
          </w:p>
        </w:tc>
        <w:tc>
          <w:tcPr>
            <w:tcW w:w="2053" w:type="dxa"/>
            <w:vAlign w:val="center"/>
          </w:tcPr>
          <w:p w14:paraId="00BCF2D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环境风险源</w:t>
            </w:r>
          </w:p>
        </w:tc>
        <w:tc>
          <w:tcPr>
            <w:tcW w:w="5913" w:type="dxa"/>
            <w:vAlign w:val="center"/>
          </w:tcPr>
          <w:p w14:paraId="1BCB431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lang w:val="en-US" w:eastAsia="zh-CN"/>
              </w:rPr>
              <w:t>农村居民生活设置污水处理系统，污水回用不外排</w:t>
            </w:r>
          </w:p>
        </w:tc>
      </w:tr>
      <w:tr w14:paraId="16508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0" w:hRule="atLeast"/>
        </w:trPr>
        <w:tc>
          <w:tcPr>
            <w:tcW w:w="817" w:type="dxa"/>
            <w:vAlign w:val="center"/>
          </w:tcPr>
          <w:p w14:paraId="789801C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4</w:t>
            </w:r>
          </w:p>
        </w:tc>
        <w:tc>
          <w:tcPr>
            <w:tcW w:w="2053" w:type="dxa"/>
            <w:vAlign w:val="center"/>
          </w:tcPr>
          <w:p w14:paraId="004EB2E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应急监测能力</w:t>
            </w:r>
          </w:p>
        </w:tc>
        <w:tc>
          <w:tcPr>
            <w:tcW w:w="5913" w:type="dxa"/>
            <w:vAlign w:val="center"/>
          </w:tcPr>
          <w:p w14:paraId="163EAA0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伊春市生态环境局每</w:t>
            </w:r>
            <w:r>
              <w:rPr>
                <w:rFonts w:hint="eastAsia" w:ascii="仿宋" w:hAnsi="仿宋" w:eastAsia="仿宋" w:cs="仿宋"/>
                <w:color w:val="auto"/>
                <w:spacing w:val="0"/>
                <w:w w:val="100"/>
                <w:position w:val="0"/>
                <w:sz w:val="24"/>
                <w:szCs w:val="24"/>
                <w:highlight w:val="none"/>
                <w:lang w:val="en-US" w:eastAsia="zh-CN"/>
              </w:rPr>
              <w:t>季度</w:t>
            </w:r>
            <w:r>
              <w:rPr>
                <w:rFonts w:hint="eastAsia" w:ascii="仿宋" w:hAnsi="仿宋" w:eastAsia="仿宋" w:cs="仿宋"/>
                <w:color w:val="auto"/>
                <w:spacing w:val="0"/>
                <w:w w:val="100"/>
                <w:position w:val="0"/>
                <w:sz w:val="24"/>
                <w:szCs w:val="24"/>
                <w:highlight w:val="none"/>
              </w:rPr>
              <w:t>对其水源地进行水质监测，对水质进行分析，常规监测断面每</w:t>
            </w:r>
            <w:r>
              <w:rPr>
                <w:rFonts w:hint="eastAsia" w:ascii="仿宋" w:hAnsi="仿宋" w:eastAsia="仿宋" w:cs="仿宋"/>
                <w:color w:val="auto"/>
                <w:spacing w:val="0"/>
                <w:w w:val="100"/>
                <w:position w:val="0"/>
                <w:sz w:val="24"/>
                <w:szCs w:val="24"/>
                <w:highlight w:val="none"/>
                <w:lang w:val="en-US" w:eastAsia="zh-CN"/>
              </w:rPr>
              <w:t>季度</w:t>
            </w:r>
            <w:r>
              <w:rPr>
                <w:rFonts w:hint="eastAsia" w:ascii="仿宋" w:hAnsi="仿宋" w:eastAsia="仿宋" w:cs="仿宋"/>
                <w:color w:val="auto"/>
                <w:spacing w:val="0"/>
                <w:w w:val="100"/>
                <w:position w:val="0"/>
                <w:sz w:val="24"/>
                <w:szCs w:val="24"/>
                <w:highlight w:val="none"/>
              </w:rPr>
              <w:t>监测项目：《地表水环境质量标准》</w:t>
            </w:r>
            <w:r>
              <w:rPr>
                <w:rFonts w:hint="eastAsia" w:ascii="仿宋" w:hAnsi="仿宋" w:eastAsia="仿宋" w:cs="仿宋"/>
                <w:color w:val="auto"/>
                <w:spacing w:val="0"/>
                <w:w w:val="100"/>
                <w:position w:val="0"/>
                <w:sz w:val="24"/>
                <w:szCs w:val="24"/>
                <w:highlight w:val="none"/>
                <w:lang w:eastAsia="zh-CN"/>
              </w:rPr>
              <w:t>（</w:t>
            </w:r>
            <w:r>
              <w:rPr>
                <w:rFonts w:hint="eastAsia" w:ascii="仿宋" w:hAnsi="仿宋" w:eastAsia="仿宋" w:cs="仿宋"/>
                <w:color w:val="auto"/>
                <w:spacing w:val="0"/>
                <w:w w:val="100"/>
                <w:position w:val="0"/>
                <w:sz w:val="24"/>
                <w:szCs w:val="24"/>
                <w:highlight w:val="none"/>
              </w:rPr>
              <w:t>GB3838—2002</w:t>
            </w:r>
            <w:r>
              <w:rPr>
                <w:rFonts w:hint="eastAsia" w:ascii="仿宋" w:hAnsi="仿宋" w:eastAsia="仿宋" w:cs="仿宋"/>
                <w:color w:val="auto"/>
                <w:spacing w:val="0"/>
                <w:w w:val="100"/>
                <w:position w:val="0"/>
                <w:sz w:val="24"/>
                <w:szCs w:val="24"/>
                <w:highlight w:val="none"/>
                <w:lang w:eastAsia="zh-CN"/>
              </w:rPr>
              <w:t>）</w:t>
            </w:r>
            <w:r>
              <w:rPr>
                <w:rFonts w:hint="eastAsia" w:ascii="仿宋" w:hAnsi="仿宋" w:eastAsia="仿宋" w:cs="仿宋"/>
                <w:color w:val="auto"/>
                <w:spacing w:val="0"/>
                <w:w w:val="100"/>
                <w:position w:val="0"/>
                <w:sz w:val="24"/>
                <w:szCs w:val="24"/>
                <w:highlight w:val="none"/>
                <w:lang w:val="en-US" w:eastAsia="zh-CN"/>
              </w:rPr>
              <w:t>64</w:t>
            </w:r>
            <w:r>
              <w:rPr>
                <w:rFonts w:hint="eastAsia" w:ascii="仿宋" w:hAnsi="仿宋" w:eastAsia="仿宋" w:cs="仿宋"/>
                <w:color w:val="auto"/>
                <w:spacing w:val="0"/>
                <w:w w:val="100"/>
                <w:position w:val="0"/>
                <w:sz w:val="24"/>
                <w:szCs w:val="24"/>
                <w:highlight w:val="none"/>
              </w:rPr>
              <w:t>项</w:t>
            </w:r>
            <w:r>
              <w:rPr>
                <w:rFonts w:hint="eastAsia" w:ascii="仿宋" w:hAnsi="仿宋" w:eastAsia="仿宋" w:cs="仿宋"/>
                <w:color w:val="auto"/>
                <w:spacing w:val="0"/>
                <w:w w:val="100"/>
                <w:position w:val="0"/>
                <w:sz w:val="24"/>
                <w:szCs w:val="24"/>
                <w:highlight w:val="none"/>
                <w:lang w:val="en-US" w:eastAsia="zh-CN"/>
              </w:rPr>
              <w:t>检测指标</w:t>
            </w:r>
            <w:r>
              <w:rPr>
                <w:rFonts w:hint="eastAsia" w:ascii="仿宋" w:hAnsi="仿宋" w:eastAsia="仿宋" w:cs="仿宋"/>
                <w:color w:val="auto"/>
                <w:spacing w:val="0"/>
                <w:w w:val="100"/>
                <w:position w:val="0"/>
                <w:sz w:val="24"/>
                <w:szCs w:val="24"/>
                <w:highlight w:val="none"/>
              </w:rPr>
              <w:t>。常规监测断面每1年</w:t>
            </w:r>
            <w:r>
              <w:rPr>
                <w:rFonts w:hint="eastAsia" w:ascii="仿宋" w:hAnsi="仿宋" w:eastAsia="仿宋" w:cs="仿宋"/>
                <w:color w:val="auto"/>
                <w:spacing w:val="0"/>
                <w:w w:val="100"/>
                <w:position w:val="0"/>
                <w:sz w:val="24"/>
                <w:szCs w:val="24"/>
                <w:highlight w:val="none"/>
                <w:lang w:val="en-US" w:eastAsia="zh-CN"/>
              </w:rPr>
              <w:t>111项</w:t>
            </w:r>
            <w:r>
              <w:rPr>
                <w:rFonts w:hint="eastAsia" w:ascii="仿宋" w:hAnsi="仿宋" w:eastAsia="仿宋" w:cs="仿宋"/>
                <w:color w:val="auto"/>
                <w:spacing w:val="0"/>
                <w:w w:val="100"/>
                <w:position w:val="0"/>
                <w:sz w:val="24"/>
                <w:szCs w:val="24"/>
                <w:highlight w:val="none"/>
              </w:rPr>
              <w:t>全分析项目。应急预警监测断面和应急监测断面监测项目视具体情况而定。</w:t>
            </w:r>
          </w:p>
        </w:tc>
      </w:tr>
      <w:tr w14:paraId="1B43C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17" w:type="dxa"/>
            <w:vAlign w:val="center"/>
          </w:tcPr>
          <w:p w14:paraId="6DD33AB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5</w:t>
            </w:r>
          </w:p>
        </w:tc>
        <w:tc>
          <w:tcPr>
            <w:tcW w:w="2053" w:type="dxa"/>
            <w:vAlign w:val="center"/>
          </w:tcPr>
          <w:p w14:paraId="7EF10AA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应急供水</w:t>
            </w:r>
          </w:p>
        </w:tc>
        <w:tc>
          <w:tcPr>
            <w:tcW w:w="5913" w:type="dxa"/>
            <w:vAlign w:val="center"/>
          </w:tcPr>
          <w:p w14:paraId="04BF95C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实时在线监测，一旦需要启动时，立即启动备用水源</w:t>
            </w:r>
          </w:p>
        </w:tc>
      </w:tr>
      <w:tr w14:paraId="1E269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17" w:type="dxa"/>
            <w:vAlign w:val="center"/>
          </w:tcPr>
          <w:p w14:paraId="5813DCA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6</w:t>
            </w:r>
          </w:p>
        </w:tc>
        <w:tc>
          <w:tcPr>
            <w:tcW w:w="2053" w:type="dxa"/>
            <w:vAlign w:val="center"/>
          </w:tcPr>
          <w:p w14:paraId="09A3B65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应急物资</w:t>
            </w:r>
          </w:p>
        </w:tc>
        <w:tc>
          <w:tcPr>
            <w:tcW w:w="5913" w:type="dxa"/>
            <w:vAlign w:val="center"/>
          </w:tcPr>
          <w:p w14:paraId="44D9FD2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西山水库饮用水水源保护区针对原水可能受到的污染情况，</w:t>
            </w:r>
            <w:r>
              <w:rPr>
                <w:rFonts w:hint="eastAsia" w:ascii="仿宋" w:hAnsi="仿宋" w:eastAsia="仿宋" w:cs="仿宋"/>
                <w:color w:val="auto"/>
                <w:spacing w:val="0"/>
                <w:w w:val="100"/>
                <w:position w:val="0"/>
                <w:sz w:val="24"/>
                <w:szCs w:val="24"/>
                <w:highlight w:val="none"/>
                <w:lang w:eastAsia="zh-CN"/>
              </w:rPr>
              <w:t>储备</w:t>
            </w:r>
            <w:r>
              <w:rPr>
                <w:rFonts w:ascii="仿宋" w:hAnsi="仿宋" w:eastAsia="仿宋" w:cs="仿宋"/>
                <w:color w:val="auto"/>
                <w:spacing w:val="0"/>
                <w:w w:val="100"/>
                <w:position w:val="0"/>
                <w:sz w:val="24"/>
                <w:szCs w:val="24"/>
                <w:highlight w:val="none"/>
              </w:rPr>
              <w:t>了常用的应急物资</w:t>
            </w:r>
          </w:p>
        </w:tc>
      </w:tr>
      <w:tr w14:paraId="14582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817" w:type="dxa"/>
            <w:vAlign w:val="center"/>
          </w:tcPr>
          <w:p w14:paraId="1A4C44E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7</w:t>
            </w:r>
          </w:p>
        </w:tc>
        <w:tc>
          <w:tcPr>
            <w:tcW w:w="2053" w:type="dxa"/>
            <w:vAlign w:val="center"/>
          </w:tcPr>
          <w:p w14:paraId="03F753E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水源地管理</w:t>
            </w:r>
          </w:p>
        </w:tc>
        <w:tc>
          <w:tcPr>
            <w:tcW w:w="5913" w:type="dxa"/>
            <w:vAlign w:val="center"/>
          </w:tcPr>
          <w:p w14:paraId="472AF9A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已设立机构完善的水源地管理机构，暂未建立完善的水源地监测体系和饮用水安全预警与应急系统</w:t>
            </w:r>
          </w:p>
        </w:tc>
      </w:tr>
    </w:tbl>
    <w:p w14:paraId="21726994">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47" w:name="bookmark123"/>
      <w:bookmarkEnd w:id="547"/>
      <w:bookmarkStart w:id="548" w:name="_Toc9653"/>
      <w:bookmarkStart w:id="549" w:name="_Toc11999"/>
      <w:bookmarkStart w:id="550" w:name="_Toc8669"/>
      <w:bookmarkStart w:id="551" w:name="_Toc8553"/>
      <w:bookmarkStart w:id="552" w:name="_Toc12715"/>
      <w:bookmarkStart w:id="553" w:name="_Toc17595"/>
      <w:r>
        <w:rPr>
          <w:rFonts w:ascii="仿宋" w:hAnsi="仿宋" w:eastAsia="仿宋" w:cs="仿宋"/>
          <w:b/>
          <w:bCs/>
          <w:color w:val="auto"/>
          <w:spacing w:val="0"/>
          <w:w w:val="100"/>
          <w:position w:val="0"/>
          <w:sz w:val="31"/>
          <w:szCs w:val="31"/>
          <w:highlight w:val="none"/>
        </w:rPr>
        <w:t>6.2固定风险源环境风险防控能力分析</w:t>
      </w:r>
      <w:bookmarkEnd w:id="548"/>
      <w:bookmarkEnd w:id="549"/>
      <w:bookmarkEnd w:id="550"/>
      <w:bookmarkEnd w:id="551"/>
      <w:bookmarkEnd w:id="552"/>
      <w:bookmarkEnd w:id="553"/>
    </w:p>
    <w:p w14:paraId="333166E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在西山水库水源饮用水源保护区</w:t>
      </w:r>
      <w:r>
        <w:rPr>
          <w:rFonts w:hint="eastAsia" w:ascii="仿宋" w:hAnsi="仿宋" w:eastAsia="仿宋" w:cs="仿宋"/>
          <w:color w:val="auto"/>
          <w:spacing w:val="0"/>
          <w:w w:val="100"/>
          <w:position w:val="0"/>
          <w:sz w:val="28"/>
          <w:szCs w:val="28"/>
          <w:highlight w:val="none"/>
          <w:lang w:val="en-US" w:eastAsia="zh-CN"/>
        </w:rPr>
        <w:t>内无</w:t>
      </w:r>
      <w:r>
        <w:rPr>
          <w:rFonts w:hint="eastAsia" w:ascii="仿宋" w:hAnsi="仿宋" w:eastAsia="仿宋" w:cs="仿宋"/>
          <w:color w:val="auto"/>
          <w:spacing w:val="0"/>
          <w:w w:val="100"/>
          <w:position w:val="0"/>
          <w:sz w:val="28"/>
          <w:szCs w:val="28"/>
          <w:highlight w:val="none"/>
        </w:rPr>
        <w:t>包括石油化工企业、污（废）水处理厂、垃圾填埋场、危险品仓库、尾矿库和装卸码头等</w:t>
      </w:r>
      <w:r>
        <w:rPr>
          <w:rFonts w:hint="eastAsia" w:ascii="仿宋" w:hAnsi="仿宋" w:eastAsia="仿宋" w:cs="仿宋"/>
          <w:color w:val="auto"/>
          <w:spacing w:val="0"/>
          <w:w w:val="100"/>
          <w:position w:val="0"/>
          <w:sz w:val="28"/>
          <w:szCs w:val="28"/>
          <w:highlight w:val="none"/>
          <w:lang w:val="en-US" w:eastAsia="zh-CN"/>
        </w:rPr>
        <w:t>固定风险源</w:t>
      </w:r>
      <w:r>
        <w:rPr>
          <w:rFonts w:ascii="仿宋" w:hAnsi="仿宋" w:eastAsia="仿宋" w:cs="仿宋"/>
          <w:color w:val="auto"/>
          <w:spacing w:val="0"/>
          <w:w w:val="100"/>
          <w:position w:val="0"/>
          <w:sz w:val="28"/>
          <w:szCs w:val="28"/>
          <w:highlight w:val="none"/>
        </w:rPr>
        <w:t>。</w:t>
      </w:r>
    </w:p>
    <w:p w14:paraId="03AEB5D1">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54" w:name="bookmark124"/>
      <w:bookmarkEnd w:id="554"/>
      <w:bookmarkStart w:id="555" w:name="_Toc15250"/>
      <w:bookmarkStart w:id="556" w:name="_Toc11782"/>
      <w:bookmarkStart w:id="557" w:name="_Toc3783"/>
      <w:bookmarkStart w:id="558" w:name="_Toc23603"/>
      <w:bookmarkStart w:id="559" w:name="_Toc10815"/>
      <w:bookmarkStart w:id="560" w:name="_Toc4013"/>
      <w:r>
        <w:rPr>
          <w:rFonts w:ascii="仿宋" w:hAnsi="仿宋" w:eastAsia="仿宋" w:cs="仿宋"/>
          <w:b/>
          <w:bCs/>
          <w:color w:val="auto"/>
          <w:spacing w:val="0"/>
          <w:w w:val="100"/>
          <w:position w:val="0"/>
          <w:sz w:val="31"/>
          <w:szCs w:val="31"/>
          <w:highlight w:val="none"/>
        </w:rPr>
        <w:t>6.3流动风险源环境风险防控能力分析</w:t>
      </w:r>
      <w:bookmarkEnd w:id="555"/>
      <w:bookmarkEnd w:id="556"/>
      <w:bookmarkEnd w:id="557"/>
      <w:bookmarkEnd w:id="558"/>
      <w:bookmarkEnd w:id="559"/>
      <w:bookmarkEnd w:id="560"/>
    </w:p>
    <w:p w14:paraId="2134E9A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西山水库饮用水源保护区一二级保护区、准保护区，不涉及服务站、加油站等设施。类比同类项目可知，本评估提出如下整改要求：</w:t>
      </w:r>
    </w:p>
    <w:p w14:paraId="5A8FE45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①环保、安全、交通等相关部门根据职责，加强西山水库饮用水源保护区流动风险源管理，在水源保护区应设立检测管理点，对进入保护区的车辆及物品进行检查，防止车辆漏油、物品散落等。</w:t>
      </w:r>
    </w:p>
    <w:p w14:paraId="3A5746A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②严格控制运输危险化学品、危险废物及其他影响饮用水水源安全的车辆进入水源保护区，进入车辆设置防渗、防溢、防漏等设施。</w:t>
      </w:r>
      <w:bookmarkStart w:id="561" w:name="bookmark125"/>
      <w:bookmarkEnd w:id="561"/>
    </w:p>
    <w:p w14:paraId="0722753F">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62" w:name="_Toc19828"/>
      <w:bookmarkStart w:id="563" w:name="_Toc28389"/>
      <w:bookmarkStart w:id="564" w:name="_Toc22329"/>
      <w:bookmarkStart w:id="565" w:name="_Toc14330"/>
      <w:bookmarkStart w:id="566" w:name="_Toc104"/>
      <w:bookmarkStart w:id="567" w:name="_Toc16688"/>
      <w:r>
        <w:rPr>
          <w:rFonts w:ascii="仿宋" w:hAnsi="仿宋" w:eastAsia="仿宋" w:cs="仿宋"/>
          <w:b/>
          <w:bCs/>
          <w:color w:val="auto"/>
          <w:spacing w:val="0"/>
          <w:w w:val="100"/>
          <w:position w:val="0"/>
          <w:sz w:val="31"/>
          <w:szCs w:val="31"/>
          <w:highlight w:val="none"/>
        </w:rPr>
        <w:t>6.4非点源环境风险防控能力分析</w:t>
      </w:r>
      <w:bookmarkEnd w:id="562"/>
      <w:bookmarkEnd w:id="563"/>
      <w:bookmarkEnd w:id="564"/>
      <w:bookmarkEnd w:id="565"/>
      <w:bookmarkEnd w:id="566"/>
      <w:bookmarkEnd w:id="567"/>
    </w:p>
    <w:p w14:paraId="17C53C1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西山水库饮用水源保护区划定范围内的河两岸防洪堤外侧背水坡脚内，无工业、生活、农业等污染源。二级保护区、准保护区有部分生活和农业面源污染等风险源存在。</w:t>
      </w:r>
    </w:p>
    <w:p w14:paraId="5404DFA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整改要求：</w:t>
      </w:r>
    </w:p>
    <w:p w14:paraId="6CCA17A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①根据</w:t>
      </w:r>
      <w:r>
        <w:rPr>
          <w:rFonts w:hint="eastAsia" w:ascii="仿宋" w:hAnsi="仿宋" w:eastAsia="仿宋" w:cs="仿宋"/>
          <w:color w:val="auto"/>
          <w:spacing w:val="0"/>
          <w:w w:val="100"/>
          <w:position w:val="0"/>
          <w:sz w:val="28"/>
          <w:szCs w:val="28"/>
          <w:highlight w:val="none"/>
          <w:lang w:eastAsia="zh-CN"/>
        </w:rPr>
        <w:t>《集中式饮用水水源环境保护指南（试行）》</w:t>
      </w:r>
      <w:r>
        <w:rPr>
          <w:rFonts w:ascii="仿宋" w:hAnsi="仿宋" w:eastAsia="仿宋" w:cs="仿宋"/>
          <w:color w:val="auto"/>
          <w:spacing w:val="0"/>
          <w:w w:val="100"/>
          <w:position w:val="0"/>
          <w:sz w:val="28"/>
          <w:szCs w:val="28"/>
          <w:highlight w:val="none"/>
        </w:rPr>
        <w:t>：西山水库饮用水水源保护区范围内应控制集约化农作物种植，建议发展有机农业；</w:t>
      </w:r>
    </w:p>
    <w:p w14:paraId="1D8DFC1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②减少含磷废水外排，尽量少使用农药、化肥的使用；</w:t>
      </w:r>
    </w:p>
    <w:p w14:paraId="2481B95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③本着从源头控制的原则，建议乌翠区政府等部门，根据所在地的实际情况制定切实可行的饮用水水源保护区方案，确保饮用水水质安全；</w:t>
      </w:r>
    </w:p>
    <w:p w14:paraId="7397A4E9">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hint="default" w:ascii="仿宋" w:hAnsi="仿宋" w:eastAsia="仿宋" w:cs="仿宋"/>
          <w:b/>
          <w:bCs/>
          <w:color w:val="auto"/>
          <w:spacing w:val="0"/>
          <w:w w:val="100"/>
          <w:position w:val="0"/>
          <w:sz w:val="31"/>
          <w:szCs w:val="31"/>
          <w:highlight w:val="none"/>
          <w:lang w:val="en-US" w:eastAsia="zh-CN"/>
        </w:rPr>
      </w:pPr>
      <w:bookmarkStart w:id="568" w:name="bookmark126"/>
      <w:bookmarkEnd w:id="568"/>
      <w:bookmarkStart w:id="569" w:name="_Toc32700"/>
      <w:bookmarkStart w:id="570" w:name="_Toc29638"/>
      <w:bookmarkStart w:id="571" w:name="_Toc26915"/>
      <w:bookmarkStart w:id="572" w:name="_Toc31154"/>
      <w:bookmarkStart w:id="573" w:name="_Toc323"/>
      <w:bookmarkStart w:id="574" w:name="_Toc20453"/>
      <w:r>
        <w:rPr>
          <w:rFonts w:hint="eastAsia" w:ascii="仿宋" w:hAnsi="仿宋" w:eastAsia="仿宋" w:cs="仿宋"/>
          <w:b/>
          <w:bCs/>
          <w:color w:val="auto"/>
          <w:spacing w:val="0"/>
          <w:w w:val="100"/>
          <w:position w:val="0"/>
          <w:sz w:val="31"/>
          <w:szCs w:val="31"/>
          <w:highlight w:val="none"/>
          <w:lang w:val="en-US" w:eastAsia="zh-CN"/>
        </w:rPr>
        <w:t>6.5</w:t>
      </w:r>
      <w:r>
        <w:rPr>
          <w:rFonts w:hint="default" w:ascii="仿宋" w:hAnsi="仿宋" w:eastAsia="仿宋" w:cs="仿宋"/>
          <w:b/>
          <w:bCs/>
          <w:color w:val="auto"/>
          <w:spacing w:val="0"/>
          <w:w w:val="100"/>
          <w:position w:val="0"/>
          <w:sz w:val="31"/>
          <w:szCs w:val="31"/>
          <w:highlight w:val="none"/>
          <w:lang w:val="en-US" w:eastAsia="zh-CN"/>
        </w:rPr>
        <w:t>水华污染风险防控能力分析</w:t>
      </w:r>
      <w:bookmarkEnd w:id="569"/>
    </w:p>
    <w:p w14:paraId="3F6D5B7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default" w:ascii="仿宋" w:hAnsi="仿宋" w:eastAsia="仿宋" w:cs="仿宋"/>
          <w:color w:val="auto"/>
          <w:spacing w:val="0"/>
          <w:w w:val="100"/>
          <w:position w:val="0"/>
          <w:sz w:val="28"/>
          <w:szCs w:val="28"/>
          <w:highlight w:val="none"/>
          <w:lang w:val="en-US" w:eastAsia="zh-CN"/>
        </w:rPr>
      </w:pPr>
      <w:r>
        <w:rPr>
          <w:rFonts w:hint="default" w:ascii="仿宋" w:hAnsi="仿宋" w:eastAsia="仿宋" w:cs="仿宋"/>
          <w:color w:val="auto"/>
          <w:spacing w:val="0"/>
          <w:w w:val="100"/>
          <w:position w:val="0"/>
          <w:sz w:val="28"/>
          <w:szCs w:val="28"/>
          <w:highlight w:val="none"/>
          <w:lang w:val="en-US" w:eastAsia="zh-CN"/>
        </w:rPr>
        <w:t>当饮用水水源发生藻类水华时，优先考虑更换水源，无可替换水源时再启动藻类水华控制工作。针对湖泊（水库）型饮用水水源的水华主要发生区域，分析其水文、水化学特征、营养负荷特征，以不同水华发生特征为基础，制定水华控制方案。</w:t>
      </w:r>
    </w:p>
    <w:p w14:paraId="1DF53BB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default" w:ascii="仿宋" w:hAnsi="仿宋" w:eastAsia="仿宋" w:cs="仿宋"/>
          <w:color w:val="auto"/>
          <w:spacing w:val="0"/>
          <w:w w:val="100"/>
          <w:position w:val="0"/>
          <w:sz w:val="28"/>
          <w:szCs w:val="28"/>
          <w:highlight w:val="none"/>
          <w:lang w:val="en-US" w:eastAsia="zh-CN"/>
        </w:rPr>
      </w:pPr>
      <w:r>
        <w:rPr>
          <w:rFonts w:hint="default" w:ascii="仿宋" w:hAnsi="仿宋" w:eastAsia="仿宋" w:cs="仿宋"/>
          <w:color w:val="auto"/>
          <w:spacing w:val="0"/>
          <w:w w:val="100"/>
          <w:position w:val="0"/>
          <w:sz w:val="28"/>
          <w:szCs w:val="28"/>
          <w:highlight w:val="none"/>
          <w:lang w:val="en-US" w:eastAsia="zh-CN"/>
        </w:rPr>
        <w:t>（1）机械打捞</w:t>
      </w:r>
    </w:p>
    <w:p w14:paraId="3A68F9A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default" w:ascii="仿宋" w:hAnsi="仿宋" w:eastAsia="仿宋" w:cs="仿宋"/>
          <w:color w:val="auto"/>
          <w:spacing w:val="0"/>
          <w:w w:val="100"/>
          <w:position w:val="0"/>
          <w:sz w:val="28"/>
          <w:szCs w:val="28"/>
          <w:highlight w:val="none"/>
          <w:lang w:val="en-US" w:eastAsia="zh-CN"/>
        </w:rPr>
      </w:pPr>
      <w:r>
        <w:rPr>
          <w:rFonts w:hint="default" w:ascii="仿宋" w:hAnsi="仿宋" w:eastAsia="仿宋" w:cs="仿宋"/>
          <w:color w:val="auto"/>
          <w:spacing w:val="0"/>
          <w:w w:val="100"/>
          <w:position w:val="0"/>
          <w:sz w:val="28"/>
          <w:szCs w:val="28"/>
          <w:highlight w:val="none"/>
          <w:lang w:val="en-US" w:eastAsia="zh-CN"/>
        </w:rPr>
        <w:t>藻水高效分离技术：通过合适的过滤或者絮凝等技术与装置，高效打捞并迅速实现藻水分离。根据短期的气象与水文预测信息，确定在未来时间内藻类水华易聚集的时间和地点，组织人员和机械，在藻类高度聚集的水域打捞藻类，提高打捞效率。</w:t>
      </w:r>
    </w:p>
    <w:p w14:paraId="459D527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default" w:ascii="仿宋" w:hAnsi="仿宋" w:eastAsia="仿宋" w:cs="仿宋"/>
          <w:color w:val="auto"/>
          <w:spacing w:val="0"/>
          <w:w w:val="100"/>
          <w:position w:val="0"/>
          <w:sz w:val="28"/>
          <w:szCs w:val="28"/>
          <w:highlight w:val="none"/>
          <w:lang w:val="en-US" w:eastAsia="zh-CN"/>
        </w:rPr>
      </w:pPr>
      <w:r>
        <w:rPr>
          <w:rFonts w:hint="default" w:ascii="仿宋" w:hAnsi="仿宋" w:eastAsia="仿宋" w:cs="仿宋"/>
          <w:color w:val="auto"/>
          <w:spacing w:val="0"/>
          <w:w w:val="100"/>
          <w:position w:val="0"/>
          <w:sz w:val="28"/>
          <w:szCs w:val="28"/>
          <w:highlight w:val="none"/>
          <w:lang w:val="en-US" w:eastAsia="zh-CN"/>
        </w:rPr>
        <w:t>（2）生物控藻</w:t>
      </w:r>
    </w:p>
    <w:p w14:paraId="7E1D80D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hint="default" w:ascii="仿宋" w:hAnsi="仿宋" w:eastAsia="仿宋" w:cs="仿宋"/>
          <w:color w:val="auto"/>
          <w:spacing w:val="0"/>
          <w:w w:val="100"/>
          <w:position w:val="0"/>
          <w:sz w:val="28"/>
          <w:szCs w:val="28"/>
          <w:highlight w:val="none"/>
          <w:lang w:val="en-US" w:eastAsia="zh-CN"/>
        </w:rPr>
      </w:pPr>
      <w:r>
        <w:rPr>
          <w:rFonts w:hint="default" w:ascii="仿宋" w:hAnsi="仿宋" w:eastAsia="仿宋" w:cs="仿宋"/>
          <w:color w:val="auto"/>
          <w:spacing w:val="0"/>
          <w:w w:val="100"/>
          <w:position w:val="0"/>
          <w:sz w:val="28"/>
          <w:szCs w:val="28"/>
          <w:highlight w:val="none"/>
          <w:lang w:val="en-US" w:eastAsia="zh-CN"/>
        </w:rPr>
        <w:t>利用藻类的天敌及其产生的生长抑制物质来控制或杀灭藻类的技术，主要包括：利用藻类病原菌（细菌、真菌）抑制藻类生长；利用藻类病毒（噬藻体）控制藻类的生长；利用植物的抑制物质、植物间的相互抑制，以及富集和争夺营养源的抑藻作用；利用食藻鱼类控制藻类生长；酶处理技术。利用浮叶植物、挺水植物、沉水植物等大型水生植物吸收氮磷及节流藻类等调控技术。</w:t>
      </w:r>
    </w:p>
    <w:p w14:paraId="7052DED0">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75" w:name="_Toc26513"/>
      <w:r>
        <w:rPr>
          <w:rFonts w:ascii="仿宋" w:hAnsi="仿宋" w:eastAsia="仿宋" w:cs="仿宋"/>
          <w:b/>
          <w:bCs/>
          <w:color w:val="auto"/>
          <w:spacing w:val="0"/>
          <w:w w:val="100"/>
          <w:position w:val="0"/>
          <w:sz w:val="31"/>
          <w:szCs w:val="31"/>
          <w:highlight w:val="none"/>
        </w:rPr>
        <w:t>6.</w:t>
      </w:r>
      <w:r>
        <w:rPr>
          <w:rFonts w:hint="eastAsia" w:ascii="仿宋" w:hAnsi="仿宋" w:eastAsia="仿宋" w:cs="仿宋"/>
          <w:b/>
          <w:bCs/>
          <w:color w:val="auto"/>
          <w:spacing w:val="0"/>
          <w:w w:val="100"/>
          <w:position w:val="0"/>
          <w:sz w:val="31"/>
          <w:szCs w:val="31"/>
          <w:highlight w:val="none"/>
          <w:lang w:val="en-US" w:eastAsia="zh-CN"/>
        </w:rPr>
        <w:t>6</w:t>
      </w:r>
      <w:r>
        <w:rPr>
          <w:rFonts w:ascii="仿宋" w:hAnsi="仿宋" w:eastAsia="仿宋" w:cs="仿宋"/>
          <w:b/>
          <w:bCs/>
          <w:color w:val="auto"/>
          <w:spacing w:val="0"/>
          <w:w w:val="100"/>
          <w:position w:val="0"/>
          <w:sz w:val="31"/>
          <w:szCs w:val="31"/>
          <w:highlight w:val="none"/>
        </w:rPr>
        <w:t>特殊时期污染风险防控能力分析</w:t>
      </w:r>
      <w:bookmarkEnd w:id="570"/>
      <w:bookmarkEnd w:id="571"/>
      <w:bookmarkEnd w:id="572"/>
      <w:bookmarkEnd w:id="573"/>
      <w:bookmarkEnd w:id="574"/>
      <w:bookmarkEnd w:id="575"/>
    </w:p>
    <w:p w14:paraId="4A3C8E9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在汛期、旱期、雨雪冰冻等特殊时期，西山水库饮用水源保护区的直接管理部门应及时向乌翠区人民政府提出提升特殊时期环境风险防控工作建议和对策，具体防范措施如下：</w:t>
      </w:r>
    </w:p>
    <w:p w14:paraId="1910DFD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（1）汛期</w:t>
      </w:r>
    </w:p>
    <w:p w14:paraId="01E9253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针对重大汛情，组织对水源地沿线周边的污染源进行全面排查，重点监控、防范企业趁汛期偷排超标污水；增加企业监测频次；对水利工程调蓄方式提出建议，避免对水质造成大的影响；联合卫生等部门加强水源地水质监测工作，重点监测细菌总数、大肠菌群、浊度、重金属等。</w:t>
      </w:r>
    </w:p>
    <w:p w14:paraId="776D1F9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汛期饮用水异常，判断可能是水源被污染时，西山水库饮用水源保护区直接管理单位应及时有效查找原因并科学应对，通过设立警示牌、清除主要污染源、建设治污截污工程、强化环境监管等措施，保障水源地的水质安全。</w:t>
      </w:r>
    </w:p>
    <w:p w14:paraId="242A68C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（2）重大旱情</w:t>
      </w:r>
    </w:p>
    <w:p w14:paraId="4BC6A40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严密监控水质变化。在重大旱情时期，直接管理单位应加大与市水务局、市自来水公司、市环保局、市卫生局等部门的沟通联系，对水质加密监测，及时掌握水质变化情况。</w:t>
      </w:r>
    </w:p>
    <w:p w14:paraId="7CFBDA8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新增污染负荷。市环保部门、市行政执法部门应集中力量开展水源保护区周边隐患排查工作，对辖区内污染企业、污水处理厂等进行全面排查，督促整改，必要时实施区域减排措施。加强对流动源的监管，减少或避免对水源造成影响。</w:t>
      </w:r>
    </w:p>
    <w:p w14:paraId="64AE514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（3）相关企业加强风险防范</w:t>
      </w:r>
    </w:p>
    <w:p w14:paraId="04C0A6A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市环保部门应督促沿线环境风险较大的企业做好污水污泥管道、转动设施、在线监测设备以及各种存贮罐体阀门的防冻工作，防止污染处理设施因冰冻损坏或运转不正常；禁止以冰冻为由停止污染治理设施运转，或借雨雪天偷排污染物。危险化学品企业应认真落实安全措施，防范因冰冻造成泄漏。</w:t>
      </w:r>
    </w:p>
    <w:p w14:paraId="660D9AD8">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76" w:name="bookmark127"/>
      <w:bookmarkEnd w:id="576"/>
      <w:bookmarkStart w:id="577" w:name="_Toc31329"/>
      <w:bookmarkStart w:id="578" w:name="_Toc14425"/>
      <w:bookmarkStart w:id="579" w:name="_Toc5946"/>
      <w:bookmarkStart w:id="580" w:name="_Toc23532"/>
      <w:bookmarkStart w:id="581" w:name="_Toc476"/>
      <w:bookmarkStart w:id="582" w:name="_Toc24643"/>
      <w:r>
        <w:rPr>
          <w:rFonts w:ascii="仿宋" w:hAnsi="仿宋" w:eastAsia="仿宋" w:cs="仿宋"/>
          <w:b/>
          <w:bCs/>
          <w:color w:val="auto"/>
          <w:spacing w:val="0"/>
          <w:w w:val="100"/>
          <w:position w:val="0"/>
          <w:sz w:val="31"/>
          <w:szCs w:val="31"/>
          <w:highlight w:val="none"/>
        </w:rPr>
        <w:t>6.</w:t>
      </w:r>
      <w:r>
        <w:rPr>
          <w:rFonts w:hint="eastAsia" w:ascii="仿宋" w:hAnsi="仿宋" w:eastAsia="仿宋" w:cs="仿宋"/>
          <w:b/>
          <w:bCs/>
          <w:color w:val="auto"/>
          <w:spacing w:val="0"/>
          <w:w w:val="100"/>
          <w:position w:val="0"/>
          <w:sz w:val="31"/>
          <w:szCs w:val="31"/>
          <w:highlight w:val="none"/>
          <w:lang w:val="en-US" w:eastAsia="zh-CN"/>
        </w:rPr>
        <w:t>7</w:t>
      </w:r>
      <w:r>
        <w:rPr>
          <w:rFonts w:ascii="仿宋" w:hAnsi="仿宋" w:eastAsia="仿宋" w:cs="仿宋"/>
          <w:b/>
          <w:bCs/>
          <w:color w:val="auto"/>
          <w:spacing w:val="0"/>
          <w:w w:val="100"/>
          <w:position w:val="0"/>
          <w:sz w:val="31"/>
          <w:szCs w:val="31"/>
          <w:highlight w:val="none"/>
        </w:rPr>
        <w:t>水源保护区的环境风险防范分析</w:t>
      </w:r>
      <w:bookmarkEnd w:id="577"/>
      <w:bookmarkEnd w:id="578"/>
      <w:bookmarkEnd w:id="579"/>
      <w:bookmarkEnd w:id="580"/>
      <w:bookmarkEnd w:id="581"/>
      <w:bookmarkEnd w:id="582"/>
    </w:p>
    <w:p w14:paraId="006292A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（1）水源地标志设置</w:t>
      </w:r>
    </w:p>
    <w:p w14:paraId="062DD75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现已划定水源地，应当按照水源地的有关规定设立明确的地理界标和警示标志。</w:t>
      </w:r>
    </w:p>
    <w:p w14:paraId="5FF3CF1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（2）风险源管理</w:t>
      </w:r>
    </w:p>
    <w:p w14:paraId="6A6FEB6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环保部门应建立风险源目标化管理模式，明确责任人和监管任务，严格审批，禁止在水源一级保护区内新建、改建、扩建与供水设施和保护水源无关的建设项目；禁止在水源二级保护区内新建、改建、扩建排放污染物的建设项目；禁止在水源保护区内建设工业固废集中贮存、处置的设施、场所和生活垃圾填埋场；坚决依法取缔水源地内的重污染行业企业。管线所属企业在设计阶段应尽量避让水源地；无法避让确需跨越水源地的，要完善风险防范措施。相关部门应严格控制运输危险化学品、危险废物及其它影响饮用水安全等物质进入水源地，必须进入者应事先申请并经有关部门批准、登记并设置防渗、防溢、防漏等设施。</w:t>
      </w:r>
    </w:p>
    <w:p w14:paraId="639D84D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（3）风险防控措施</w:t>
      </w:r>
    </w:p>
    <w:p w14:paraId="0D7E2A8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饮用水源保护区应组织制定风险防控方案，对可能面临的风险按照紧急程度和需要重视程度进行排序，评估各种风险控制方法的可行性、成本及收益，制定风险控制、转移措施方案，提升自身的降污、截污、疏浚、稀释、备用等功能。</w:t>
      </w:r>
    </w:p>
    <w:p w14:paraId="5CDF520C">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31"/>
          <w:szCs w:val="31"/>
          <w:highlight w:val="none"/>
        </w:rPr>
      </w:pPr>
      <w:bookmarkStart w:id="583" w:name="bookmark128"/>
      <w:bookmarkEnd w:id="583"/>
      <w:bookmarkStart w:id="584" w:name="_Toc29670"/>
      <w:bookmarkStart w:id="585" w:name="_Toc2788"/>
      <w:bookmarkStart w:id="586" w:name="_Toc28724"/>
      <w:bookmarkStart w:id="587" w:name="_Toc455"/>
      <w:bookmarkStart w:id="588" w:name="_Toc19941"/>
      <w:bookmarkStart w:id="589" w:name="_Toc6094"/>
      <w:r>
        <w:rPr>
          <w:rFonts w:ascii="仿宋" w:hAnsi="仿宋" w:eastAsia="仿宋" w:cs="仿宋"/>
          <w:b/>
          <w:bCs/>
          <w:color w:val="auto"/>
          <w:spacing w:val="0"/>
          <w:w w:val="100"/>
          <w:position w:val="0"/>
          <w:sz w:val="31"/>
          <w:szCs w:val="31"/>
          <w:highlight w:val="none"/>
        </w:rPr>
        <w:t>6.</w:t>
      </w:r>
      <w:r>
        <w:rPr>
          <w:rFonts w:hint="eastAsia" w:ascii="仿宋" w:hAnsi="仿宋" w:eastAsia="仿宋" w:cs="仿宋"/>
          <w:b/>
          <w:bCs/>
          <w:color w:val="auto"/>
          <w:spacing w:val="0"/>
          <w:w w:val="100"/>
          <w:position w:val="0"/>
          <w:sz w:val="31"/>
          <w:szCs w:val="31"/>
          <w:highlight w:val="none"/>
          <w:lang w:val="en-US" w:eastAsia="zh-CN"/>
        </w:rPr>
        <w:t>8</w:t>
      </w:r>
      <w:r>
        <w:rPr>
          <w:rFonts w:ascii="仿宋" w:hAnsi="仿宋" w:eastAsia="仿宋" w:cs="仿宋"/>
          <w:b/>
          <w:bCs/>
          <w:color w:val="auto"/>
          <w:spacing w:val="0"/>
          <w:w w:val="100"/>
          <w:position w:val="0"/>
          <w:sz w:val="31"/>
          <w:szCs w:val="31"/>
          <w:highlight w:val="none"/>
        </w:rPr>
        <w:t>取供水安全保障分析</w:t>
      </w:r>
      <w:bookmarkEnd w:id="584"/>
      <w:bookmarkEnd w:id="585"/>
      <w:bookmarkEnd w:id="586"/>
      <w:bookmarkEnd w:id="587"/>
      <w:bookmarkEnd w:id="588"/>
      <w:bookmarkEnd w:id="589"/>
    </w:p>
    <w:p w14:paraId="67D5986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（1）信息共享</w:t>
      </w:r>
    </w:p>
    <w:p w14:paraId="1AB9C16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环保、水利、城建、卫生等部门、供水企业等单位应建立联动机制，制定联动方案，共享水源地水质变化信息、取水信息、供水水质信息，共同应对饮用水突发环境事件。</w:t>
      </w:r>
    </w:p>
    <w:p w14:paraId="563C1BC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（2）取水安全保障</w:t>
      </w:r>
    </w:p>
    <w:p w14:paraId="3507A3D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对水厂取水口进行整治，确保水质安全。完善调水、补水、停水方案，强化在线监控，增加应急监测指标等方式，提高取水安全保障能力。</w:t>
      </w:r>
    </w:p>
    <w:p w14:paraId="18D7FE2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（3）供水安全保障</w:t>
      </w:r>
    </w:p>
    <w:p w14:paraId="75143A0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供水单位通过储备必要的应急物资，深化处理工艺，供水管线改造，分功能供水，规范停止取水、中断供水管理等措施，提高供水安全保障能力。在污染能够通过供水企业治理达标的情况下，尽量不停止供水；或通过管道管理只停止饮用水供应，尽量减少对居民其他用水和社会经济活动的影响。</w:t>
      </w:r>
    </w:p>
    <w:p w14:paraId="3226762D">
      <w:pPr>
        <w:keepNext w:val="0"/>
        <w:keepLines w:val="0"/>
        <w:pageBreakBefore w:val="0"/>
        <w:widowControl/>
        <w:kinsoku/>
        <w:wordWrap/>
        <w:overflowPunct/>
        <w:topLinePunct w:val="0"/>
        <w:autoSpaceDE w:val="0"/>
        <w:autoSpaceDN w:val="0"/>
        <w:bidi w:val="0"/>
        <w:adjustRightInd w:val="0"/>
        <w:snapToGrid w:val="0"/>
        <w:spacing w:line="360" w:lineRule="auto"/>
        <w:rPr>
          <w:rFonts w:ascii="仿宋" w:hAnsi="仿宋" w:eastAsia="仿宋" w:cs="仿宋"/>
          <w:color w:val="auto"/>
          <w:spacing w:val="0"/>
          <w:w w:val="100"/>
          <w:position w:val="0"/>
          <w:sz w:val="28"/>
          <w:szCs w:val="28"/>
          <w:highlight w:val="none"/>
        </w:rPr>
        <w:sectPr>
          <w:footerReference r:id="rId12" w:type="default"/>
          <w:pgSz w:w="11912" w:h="16841"/>
          <w:pgMar w:top="1440" w:right="1800" w:bottom="1440" w:left="1800" w:header="0" w:footer="1034" w:gutter="0"/>
          <w:pgNumType w:fmt="decimal"/>
          <w:cols w:space="720" w:num="1"/>
        </w:sectPr>
      </w:pPr>
    </w:p>
    <w:p w14:paraId="599247ED">
      <w:pPr>
        <w:keepNext w:val="0"/>
        <w:keepLines w:val="0"/>
        <w:pageBreakBefore w:val="0"/>
        <w:widowControl/>
        <w:kinsoku/>
        <w:wordWrap/>
        <w:overflowPunct/>
        <w:topLinePunct w:val="0"/>
        <w:autoSpaceDE w:val="0"/>
        <w:autoSpaceDN w:val="0"/>
        <w:bidi w:val="0"/>
        <w:adjustRightInd w:val="0"/>
        <w:snapToGrid w:val="0"/>
        <w:spacing w:before="87" w:line="222" w:lineRule="auto"/>
        <w:ind w:left="1029"/>
        <w:outlineLvl w:val="0"/>
        <w:rPr>
          <w:rFonts w:ascii="仿宋" w:hAnsi="仿宋" w:eastAsia="仿宋" w:cs="仿宋"/>
          <w:color w:val="auto"/>
          <w:spacing w:val="0"/>
          <w:w w:val="100"/>
          <w:position w:val="0"/>
          <w:sz w:val="43"/>
          <w:szCs w:val="43"/>
          <w:highlight w:val="none"/>
        </w:rPr>
      </w:pPr>
      <w:bookmarkStart w:id="590" w:name="bookmark129"/>
      <w:bookmarkEnd w:id="590"/>
      <w:bookmarkStart w:id="591" w:name="_Toc2645"/>
      <w:bookmarkStart w:id="592" w:name="_Toc19744"/>
      <w:bookmarkStart w:id="593" w:name="_Toc5395"/>
      <w:bookmarkStart w:id="594" w:name="_Toc4624"/>
      <w:bookmarkStart w:id="595" w:name="_Toc9541"/>
      <w:bookmarkStart w:id="596" w:name="_Toc16867"/>
      <w:r>
        <w:rPr>
          <w:rFonts w:ascii="仿宋" w:hAnsi="仿宋" w:eastAsia="仿宋" w:cs="仿宋"/>
          <w:b/>
          <w:bCs/>
          <w:color w:val="auto"/>
          <w:spacing w:val="0"/>
          <w:w w:val="100"/>
          <w:position w:val="0"/>
          <w:sz w:val="43"/>
          <w:szCs w:val="43"/>
          <w:highlight w:val="none"/>
        </w:rPr>
        <w:t>7完善环境风险防控措施的实施计划</w:t>
      </w:r>
      <w:bookmarkEnd w:id="591"/>
      <w:bookmarkEnd w:id="592"/>
      <w:bookmarkEnd w:id="593"/>
      <w:bookmarkEnd w:id="594"/>
      <w:bookmarkEnd w:id="595"/>
      <w:bookmarkEnd w:id="596"/>
    </w:p>
    <w:p w14:paraId="5724D0AB">
      <w:pPr>
        <w:pStyle w:val="3"/>
        <w:keepNext w:val="0"/>
        <w:keepLines w:val="0"/>
        <w:pageBreakBefore w:val="0"/>
        <w:widowControl/>
        <w:kinsoku/>
        <w:wordWrap/>
        <w:overflowPunct/>
        <w:topLinePunct w:val="0"/>
        <w:autoSpaceDE w:val="0"/>
        <w:autoSpaceDN w:val="0"/>
        <w:bidi w:val="0"/>
        <w:adjustRightInd w:val="0"/>
        <w:snapToGrid w:val="0"/>
        <w:spacing w:line="360" w:lineRule="auto"/>
        <w:ind w:left="0" w:right="0" w:firstLine="420" w:firstLineChars="200"/>
        <w:textAlignment w:val="baseline"/>
        <w:rPr>
          <w:color w:val="auto"/>
          <w:spacing w:val="0"/>
          <w:w w:val="100"/>
          <w:position w:val="0"/>
          <w:highlight w:val="none"/>
        </w:rPr>
      </w:pPr>
    </w:p>
    <w:p w14:paraId="5763836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在充分调研西山水库水源地现有应急能力和管理制度的基础上，结合水源地周边可能发生的突发性水质污染事件的风险因素和风险类型，参照《集中式饮用水水源地环境保护指南（试行）</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集中式地表水饮用水水源地环境应急管理工作指南（试行）</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集中式地表水饮用水水源地突发环境事件应急预案编制指南（试行）》等相关</w:t>
      </w:r>
      <w:r>
        <w:rPr>
          <w:rFonts w:hint="eastAsia" w:ascii="仿宋" w:hAnsi="仿宋" w:eastAsia="仿宋" w:cs="仿宋"/>
          <w:color w:val="auto"/>
          <w:spacing w:val="0"/>
          <w:w w:val="100"/>
          <w:position w:val="0"/>
          <w:sz w:val="28"/>
          <w:szCs w:val="28"/>
          <w:highlight w:val="none"/>
          <w:lang w:eastAsia="zh-CN"/>
        </w:rPr>
        <w:t>法律法规</w:t>
      </w:r>
      <w:r>
        <w:rPr>
          <w:rFonts w:ascii="仿宋" w:hAnsi="仿宋" w:eastAsia="仿宋" w:cs="仿宋"/>
          <w:color w:val="auto"/>
          <w:spacing w:val="0"/>
          <w:w w:val="100"/>
          <w:position w:val="0"/>
          <w:sz w:val="28"/>
          <w:szCs w:val="28"/>
          <w:highlight w:val="none"/>
        </w:rPr>
        <w:t>、标准规范，对现有风险防控措施的有效性进行分析论证，西山水库饮用水源保护区提高应对环境风险应急的各项工作仍</w:t>
      </w:r>
      <w:r>
        <w:rPr>
          <w:rFonts w:hint="eastAsia" w:ascii="仿宋" w:hAnsi="仿宋" w:eastAsia="仿宋" w:cs="仿宋"/>
          <w:color w:val="auto"/>
          <w:spacing w:val="0"/>
          <w:w w:val="100"/>
          <w:position w:val="0"/>
          <w:sz w:val="28"/>
          <w:szCs w:val="28"/>
          <w:highlight w:val="none"/>
          <w:lang w:eastAsia="zh-CN"/>
        </w:rPr>
        <w:t>需</w:t>
      </w:r>
      <w:r>
        <w:rPr>
          <w:rFonts w:ascii="仿宋" w:hAnsi="仿宋" w:eastAsia="仿宋" w:cs="仿宋"/>
          <w:color w:val="auto"/>
          <w:spacing w:val="0"/>
          <w:w w:val="100"/>
          <w:position w:val="0"/>
          <w:sz w:val="28"/>
          <w:szCs w:val="28"/>
          <w:highlight w:val="none"/>
        </w:rPr>
        <w:t>进一步加强，主要包括污染源整治和应急风险防控等方面，实施计划见表7-1。</w:t>
      </w:r>
    </w:p>
    <w:p w14:paraId="799132B2">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b/>
          <w:bCs/>
          <w:color w:val="auto"/>
          <w:spacing w:val="0"/>
          <w:w w:val="100"/>
          <w:position w:val="0"/>
          <w:sz w:val="24"/>
          <w:szCs w:val="24"/>
          <w:highlight w:val="none"/>
        </w:rPr>
        <w:t>表7-1西山水库饮用水源保护区污染源整治实施计划一览表</w:t>
      </w:r>
    </w:p>
    <w:p w14:paraId="6E7284E2">
      <w:pPr>
        <w:keepNext w:val="0"/>
        <w:keepLines w:val="0"/>
        <w:pageBreakBefore w:val="0"/>
        <w:widowControl/>
        <w:kinsoku/>
        <w:wordWrap/>
        <w:overflowPunct/>
        <w:topLinePunct w:val="0"/>
        <w:autoSpaceDE w:val="0"/>
        <w:autoSpaceDN w:val="0"/>
        <w:bidi w:val="0"/>
        <w:adjustRightInd w:val="0"/>
        <w:snapToGrid w:val="0"/>
        <w:spacing w:line="109" w:lineRule="exact"/>
        <w:rPr>
          <w:color w:val="auto"/>
          <w:spacing w:val="0"/>
          <w:w w:val="100"/>
          <w:position w:val="0"/>
          <w:highlight w:val="none"/>
        </w:rPr>
      </w:pPr>
    </w:p>
    <w:tbl>
      <w:tblPr>
        <w:tblStyle w:val="13"/>
        <w:tblW w:w="502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60"/>
        <w:gridCol w:w="1432"/>
        <w:gridCol w:w="5474"/>
        <w:gridCol w:w="793"/>
      </w:tblGrid>
      <w:tr w14:paraId="58ADB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395" w:type="pct"/>
            <w:vAlign w:val="center"/>
          </w:tcPr>
          <w:p w14:paraId="2B0C4E4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污染</w:t>
            </w:r>
          </w:p>
          <w:p w14:paraId="67D56C4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源类型</w:t>
            </w:r>
          </w:p>
        </w:tc>
        <w:tc>
          <w:tcPr>
            <w:tcW w:w="856" w:type="pct"/>
            <w:vAlign w:val="center"/>
          </w:tcPr>
          <w:p w14:paraId="780F3FA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任务</w:t>
            </w:r>
          </w:p>
        </w:tc>
        <w:tc>
          <w:tcPr>
            <w:tcW w:w="3273" w:type="pct"/>
            <w:vAlign w:val="center"/>
          </w:tcPr>
          <w:p w14:paraId="6DEE85D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实施计划</w:t>
            </w:r>
          </w:p>
        </w:tc>
        <w:tc>
          <w:tcPr>
            <w:tcW w:w="474" w:type="pct"/>
            <w:vAlign w:val="center"/>
          </w:tcPr>
          <w:p w14:paraId="4E4B173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实施时限</w:t>
            </w:r>
          </w:p>
        </w:tc>
      </w:tr>
      <w:tr w14:paraId="06915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395" w:type="pct"/>
            <w:tcBorders>
              <w:bottom w:val="nil"/>
            </w:tcBorders>
            <w:vAlign w:val="center"/>
          </w:tcPr>
          <w:p w14:paraId="08AF929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固定风险源</w:t>
            </w:r>
          </w:p>
        </w:tc>
        <w:tc>
          <w:tcPr>
            <w:tcW w:w="856" w:type="pct"/>
            <w:shd w:val="clear" w:color="auto" w:fill="auto"/>
            <w:vAlign w:val="center"/>
          </w:tcPr>
          <w:p w14:paraId="2FC672A2">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确保农村固废得到有效处置</w:t>
            </w:r>
          </w:p>
        </w:tc>
        <w:tc>
          <w:tcPr>
            <w:tcW w:w="3273" w:type="pct"/>
            <w:shd w:val="clear" w:color="auto" w:fill="auto"/>
            <w:vAlign w:val="center"/>
          </w:tcPr>
          <w:p w14:paraId="462F202A">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①西山水库饮用水源保护区禁止设立粪便、生活垃圾的收集、转运站；②遵循“减量化、资源化、无害化”的原则，鼓励水源地附近居民点生活垃圾分类收集，对不同类型的垃圾选择合适的处理处置方式</w:t>
            </w:r>
          </w:p>
        </w:tc>
        <w:tc>
          <w:tcPr>
            <w:tcW w:w="474" w:type="pct"/>
            <w:shd w:val="clear" w:color="auto" w:fill="auto"/>
            <w:vAlign w:val="center"/>
          </w:tcPr>
          <w:p w14:paraId="221BDC2C">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仿宋" w:hAnsi="仿宋" w:eastAsia="仿宋" w:cs="仿宋"/>
                <w:snapToGrid w:val="0"/>
                <w:color w:val="auto"/>
                <w:spacing w:val="0"/>
                <w:w w:val="100"/>
                <w:kern w:val="0"/>
                <w:position w:val="0"/>
                <w:sz w:val="24"/>
                <w:szCs w:val="24"/>
                <w:highlight w:val="none"/>
                <w:lang w:val="en-US" w:eastAsia="en-US" w:bidi="ar-SA"/>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r w14:paraId="43F3C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395" w:type="pct"/>
            <w:vMerge w:val="restart"/>
            <w:vAlign w:val="center"/>
          </w:tcPr>
          <w:p w14:paraId="67012AE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流动污染源</w:t>
            </w:r>
          </w:p>
          <w:p w14:paraId="275C3D5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非点源污染源</w:t>
            </w:r>
          </w:p>
        </w:tc>
        <w:tc>
          <w:tcPr>
            <w:tcW w:w="856" w:type="pct"/>
            <w:vAlign w:val="center"/>
          </w:tcPr>
          <w:p w14:paraId="358B3E6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确保流动污染源对水源不产生影响</w:t>
            </w:r>
          </w:p>
        </w:tc>
        <w:tc>
          <w:tcPr>
            <w:tcW w:w="3273" w:type="pct"/>
            <w:vAlign w:val="center"/>
          </w:tcPr>
          <w:p w14:paraId="6EDC8F6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①在饮用水二级保护区内不得建设服务站、加油站；②</w:t>
            </w:r>
            <w:r>
              <w:rPr>
                <w:rFonts w:hint="eastAsia" w:ascii="仿宋" w:hAnsi="仿宋" w:eastAsia="仿宋" w:cs="仿宋"/>
                <w:color w:val="auto"/>
                <w:spacing w:val="0"/>
                <w:w w:val="100"/>
                <w:position w:val="0"/>
                <w:sz w:val="24"/>
                <w:szCs w:val="24"/>
                <w:highlight w:val="none"/>
              </w:rPr>
              <w:t>加强对从事危险货物运输业主、驾驶员及押运员的安全教育和运输车辆的安全检查，使从业人员具有高度责任感，使车辆处于完好的技术状态。</w:t>
            </w:r>
          </w:p>
          <w:p w14:paraId="7E9C1B6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③危险品运输车辆在进入公路前，应向当地公路运输管理部门领取申报表，在入口处接受公安或交通管理部门的抽查，并提交申报表。申报表主要报告项目有危险货物运输执照号码、货物品种、等级和编号、收发货人姓名、装卸地点、货物特性等。危险品运输车辆一般应安排在交通量较少时段通行，在气候不好的条件下应禁止其上路，从而加强对运输危险品的车辆进行有效管理。</w:t>
            </w:r>
          </w:p>
          <w:p w14:paraId="465BFE5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④在跨越水源保护区，应设置警示牌，提请司机小心驾驶。</w:t>
            </w:r>
          </w:p>
        </w:tc>
        <w:tc>
          <w:tcPr>
            <w:tcW w:w="474" w:type="pct"/>
            <w:vAlign w:val="center"/>
          </w:tcPr>
          <w:p w14:paraId="632C2F8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r w14:paraId="6F3E1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7" w:hRule="atLeast"/>
        </w:trPr>
        <w:tc>
          <w:tcPr>
            <w:tcW w:w="395" w:type="pct"/>
            <w:vMerge w:val="continue"/>
            <w:vAlign w:val="center"/>
          </w:tcPr>
          <w:p w14:paraId="141E59D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p>
        </w:tc>
        <w:tc>
          <w:tcPr>
            <w:tcW w:w="856" w:type="pct"/>
            <w:vAlign w:val="center"/>
          </w:tcPr>
          <w:p w14:paraId="1C2886C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发展生态农业</w:t>
            </w:r>
          </w:p>
        </w:tc>
        <w:tc>
          <w:tcPr>
            <w:tcW w:w="3273" w:type="pct"/>
            <w:vAlign w:val="center"/>
          </w:tcPr>
          <w:p w14:paraId="1ECD435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①二级保护区占用耕地的部分建议发展有机农业，农作物种植面积应严格控制，进行生态补偿措施；</w:t>
            </w:r>
          </w:p>
          <w:p w14:paraId="0AA3F81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②乌翠区政府应加快对其现存的各项农业生产活动中产生的各项污染情况，进行修复和治理工作，避免产生二次污染；</w:t>
            </w:r>
          </w:p>
        </w:tc>
        <w:tc>
          <w:tcPr>
            <w:tcW w:w="474" w:type="pct"/>
            <w:vAlign w:val="center"/>
          </w:tcPr>
          <w:p w14:paraId="1ACA940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r w14:paraId="53707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395" w:type="pct"/>
            <w:vMerge w:val="restart"/>
            <w:tcBorders>
              <w:bottom w:val="nil"/>
            </w:tcBorders>
            <w:vAlign w:val="center"/>
          </w:tcPr>
          <w:p w14:paraId="7468B18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环境风险管理方面</w:t>
            </w:r>
          </w:p>
        </w:tc>
        <w:tc>
          <w:tcPr>
            <w:tcW w:w="856" w:type="pct"/>
            <w:vAlign w:val="center"/>
          </w:tcPr>
          <w:p w14:paraId="21AB32C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水质达标</w:t>
            </w:r>
          </w:p>
        </w:tc>
        <w:tc>
          <w:tcPr>
            <w:tcW w:w="3273" w:type="pct"/>
            <w:vAlign w:val="center"/>
          </w:tcPr>
          <w:p w14:paraId="74F595E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根据</w:t>
            </w:r>
            <w:r>
              <w:rPr>
                <w:rFonts w:hint="eastAsia" w:ascii="仿宋" w:hAnsi="仿宋" w:eastAsia="仿宋" w:cs="仿宋"/>
                <w:color w:val="auto"/>
                <w:spacing w:val="0"/>
                <w:w w:val="100"/>
                <w:position w:val="0"/>
                <w:sz w:val="24"/>
                <w:szCs w:val="24"/>
                <w:highlight w:val="none"/>
                <w:lang w:eastAsia="zh-CN"/>
              </w:rPr>
              <w:t>《集中式饮用水水源环境保护指南（试行）》</w:t>
            </w:r>
            <w:r>
              <w:rPr>
                <w:rFonts w:ascii="仿宋" w:hAnsi="仿宋" w:eastAsia="仿宋" w:cs="仿宋"/>
                <w:color w:val="auto"/>
                <w:spacing w:val="0"/>
                <w:w w:val="100"/>
                <w:position w:val="0"/>
                <w:sz w:val="24"/>
                <w:szCs w:val="24"/>
                <w:highlight w:val="none"/>
              </w:rPr>
              <w:t>的相关要求，西山水库饮用水水源保护区属于地表水型集中式饮用水水源保护区，其一级保护区水质应符合《地表水环境质量标准》</w:t>
            </w:r>
            <w:r>
              <w:rPr>
                <w:rFonts w:hint="eastAsia" w:ascii="仿宋" w:hAnsi="仿宋" w:eastAsia="仿宋" w:cs="仿宋"/>
                <w:color w:val="auto"/>
                <w:spacing w:val="0"/>
                <w:w w:val="100"/>
                <w:position w:val="0"/>
                <w:sz w:val="24"/>
                <w:szCs w:val="24"/>
                <w:highlight w:val="none"/>
                <w:lang w:val="en-US" w:eastAsia="zh-CN"/>
              </w:rPr>
              <w:t>Ⅱ</w:t>
            </w:r>
            <w:r>
              <w:rPr>
                <w:rFonts w:ascii="仿宋" w:hAnsi="仿宋" w:eastAsia="仿宋" w:cs="仿宋"/>
                <w:color w:val="auto"/>
                <w:spacing w:val="0"/>
                <w:w w:val="100"/>
                <w:position w:val="0"/>
                <w:sz w:val="24"/>
                <w:szCs w:val="24"/>
                <w:highlight w:val="none"/>
              </w:rPr>
              <w:t>级标准要求、二级保护区水质应符合《地表水环境质量标准》</w:t>
            </w:r>
            <w:r>
              <w:rPr>
                <w:rFonts w:hint="eastAsia" w:ascii="仿宋" w:hAnsi="仿宋" w:eastAsia="仿宋" w:cs="仿宋"/>
                <w:color w:val="auto"/>
                <w:spacing w:val="0"/>
                <w:w w:val="100"/>
                <w:position w:val="0"/>
                <w:sz w:val="24"/>
                <w:szCs w:val="24"/>
                <w:highlight w:val="none"/>
                <w:lang w:eastAsia="zh-CN"/>
              </w:rPr>
              <w:t>Ⅲ级</w:t>
            </w:r>
            <w:r>
              <w:rPr>
                <w:rFonts w:ascii="仿宋" w:hAnsi="仿宋" w:eastAsia="仿宋" w:cs="仿宋"/>
                <w:color w:val="auto"/>
                <w:spacing w:val="0"/>
                <w:w w:val="100"/>
                <w:position w:val="0"/>
                <w:sz w:val="24"/>
                <w:szCs w:val="24"/>
                <w:highlight w:val="none"/>
              </w:rPr>
              <w:t>标准要求，合理科学有效</w:t>
            </w:r>
            <w:r>
              <w:rPr>
                <w:rFonts w:hint="eastAsia" w:ascii="仿宋" w:hAnsi="仿宋" w:eastAsia="仿宋" w:cs="仿宋"/>
                <w:color w:val="auto"/>
                <w:spacing w:val="0"/>
                <w:w w:val="100"/>
                <w:position w:val="0"/>
                <w:sz w:val="24"/>
                <w:szCs w:val="24"/>
                <w:highlight w:val="none"/>
                <w:lang w:eastAsia="zh-CN"/>
              </w:rPr>
              <w:t>地</w:t>
            </w:r>
            <w:r>
              <w:rPr>
                <w:rFonts w:ascii="仿宋" w:hAnsi="仿宋" w:eastAsia="仿宋" w:cs="仿宋"/>
                <w:color w:val="auto"/>
                <w:spacing w:val="0"/>
                <w:w w:val="100"/>
                <w:position w:val="0"/>
                <w:sz w:val="24"/>
                <w:szCs w:val="24"/>
                <w:highlight w:val="none"/>
              </w:rPr>
              <w:t>保护饮用水水源水质</w:t>
            </w:r>
          </w:p>
        </w:tc>
        <w:tc>
          <w:tcPr>
            <w:tcW w:w="474" w:type="pct"/>
            <w:vAlign w:val="center"/>
          </w:tcPr>
          <w:p w14:paraId="43654EF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r w14:paraId="42691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9" w:hRule="atLeast"/>
        </w:trPr>
        <w:tc>
          <w:tcPr>
            <w:tcW w:w="395" w:type="pct"/>
            <w:vMerge w:val="continue"/>
            <w:tcBorders>
              <w:top w:val="nil"/>
              <w:bottom w:val="nil"/>
            </w:tcBorders>
            <w:vAlign w:val="center"/>
          </w:tcPr>
          <w:p w14:paraId="7A63CE8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856" w:type="pct"/>
            <w:vAlign w:val="center"/>
          </w:tcPr>
          <w:p w14:paraId="3E1A39A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饮用水水源的机构管理不全面，环境风险管理能力偏弱</w:t>
            </w:r>
          </w:p>
        </w:tc>
        <w:tc>
          <w:tcPr>
            <w:tcW w:w="3273" w:type="pct"/>
            <w:vAlign w:val="center"/>
          </w:tcPr>
          <w:p w14:paraId="13138FE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建议完善西山水库饮用水源保护区管理水平，不断改革完善各项水管理制度，逐步建立和完善流域综合治理机制，从全流域尺度保护水源，保障保护区上游水质达标，提升环境风险管理能力</w:t>
            </w:r>
          </w:p>
        </w:tc>
        <w:tc>
          <w:tcPr>
            <w:tcW w:w="474" w:type="pct"/>
            <w:vAlign w:val="center"/>
          </w:tcPr>
          <w:p w14:paraId="0A9ABE3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r w14:paraId="2367B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3" w:hRule="atLeast"/>
        </w:trPr>
        <w:tc>
          <w:tcPr>
            <w:tcW w:w="395" w:type="pct"/>
            <w:vMerge w:val="continue"/>
            <w:tcBorders>
              <w:top w:val="nil"/>
              <w:bottom w:val="nil"/>
            </w:tcBorders>
            <w:vAlign w:val="center"/>
          </w:tcPr>
          <w:p w14:paraId="609B793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856" w:type="pct"/>
            <w:vAlign w:val="center"/>
          </w:tcPr>
          <w:p w14:paraId="348FA43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汛期、旱期、冰冻等特殊时期污染风险防控制度不完善，巡查人员不具体等</w:t>
            </w:r>
          </w:p>
        </w:tc>
        <w:tc>
          <w:tcPr>
            <w:tcW w:w="3273" w:type="pct"/>
            <w:vAlign w:val="center"/>
          </w:tcPr>
          <w:p w14:paraId="232B918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建议完善汛期、旱期、冰冻等特殊时期污染风险防控制度，明确巡查人员和巡查频次及重点巡查对象等</w:t>
            </w:r>
          </w:p>
        </w:tc>
        <w:tc>
          <w:tcPr>
            <w:tcW w:w="474" w:type="pct"/>
            <w:vAlign w:val="center"/>
          </w:tcPr>
          <w:p w14:paraId="2DE8089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r w14:paraId="361CC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395" w:type="pct"/>
            <w:vMerge w:val="restart"/>
            <w:tcBorders>
              <w:bottom w:val="nil"/>
            </w:tcBorders>
            <w:vAlign w:val="center"/>
          </w:tcPr>
          <w:p w14:paraId="6C3AFF6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环境应急方面</w:t>
            </w:r>
          </w:p>
        </w:tc>
        <w:tc>
          <w:tcPr>
            <w:tcW w:w="856" w:type="pct"/>
            <w:vAlign w:val="center"/>
          </w:tcPr>
          <w:p w14:paraId="0A6E0CF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应急预案管理</w:t>
            </w:r>
          </w:p>
        </w:tc>
        <w:tc>
          <w:tcPr>
            <w:tcW w:w="3273" w:type="pct"/>
            <w:vAlign w:val="center"/>
          </w:tcPr>
          <w:p w14:paraId="4F05B6D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根据《集中式地表饮用水水源地环境应急管理工作指南（试行）》（环办</w:t>
            </w:r>
            <w:r>
              <w:rPr>
                <w:rFonts w:hint="eastAsia" w:ascii="仿宋" w:hAnsi="仿宋" w:eastAsia="仿宋" w:cs="仿宋"/>
                <w:color w:val="auto"/>
                <w:spacing w:val="0"/>
                <w:w w:val="100"/>
                <w:position w:val="0"/>
                <w:sz w:val="24"/>
                <w:szCs w:val="24"/>
                <w:highlight w:val="none"/>
                <w:lang w:eastAsia="zh-CN"/>
              </w:rPr>
              <w:t>〔2011〕93号</w:t>
            </w:r>
            <w:r>
              <w:rPr>
                <w:rFonts w:ascii="仿宋" w:hAnsi="仿宋" w:eastAsia="仿宋" w:cs="仿宋"/>
                <w:color w:val="auto"/>
                <w:spacing w:val="0"/>
                <w:w w:val="100"/>
                <w:position w:val="0"/>
                <w:sz w:val="24"/>
                <w:szCs w:val="24"/>
                <w:highlight w:val="none"/>
              </w:rPr>
              <w:t>）要求，编制规范的应急预案，并完成评审和备案</w:t>
            </w:r>
          </w:p>
        </w:tc>
        <w:tc>
          <w:tcPr>
            <w:tcW w:w="474" w:type="pct"/>
            <w:vAlign w:val="center"/>
          </w:tcPr>
          <w:p w14:paraId="520C391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r w14:paraId="13F57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395" w:type="pct"/>
            <w:vMerge w:val="continue"/>
            <w:tcBorders>
              <w:top w:val="nil"/>
              <w:bottom w:val="nil"/>
            </w:tcBorders>
            <w:vAlign w:val="center"/>
          </w:tcPr>
          <w:p w14:paraId="7B45165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856" w:type="pct"/>
            <w:vAlign w:val="center"/>
          </w:tcPr>
          <w:p w14:paraId="10FE284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应急物资储备</w:t>
            </w:r>
          </w:p>
        </w:tc>
        <w:tc>
          <w:tcPr>
            <w:tcW w:w="3273" w:type="pct"/>
            <w:vAlign w:val="center"/>
          </w:tcPr>
          <w:p w14:paraId="406AF6C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根据水源保护区环境风险物质种类情况储备相应的环境应急物资，并按规范存放，水厂积极采取各项污染源风险防范措施</w:t>
            </w:r>
          </w:p>
        </w:tc>
        <w:tc>
          <w:tcPr>
            <w:tcW w:w="474" w:type="pct"/>
            <w:vAlign w:val="center"/>
          </w:tcPr>
          <w:p w14:paraId="3BD7640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r w14:paraId="5FF71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395" w:type="pct"/>
            <w:vMerge w:val="continue"/>
            <w:tcBorders>
              <w:top w:val="nil"/>
            </w:tcBorders>
            <w:vAlign w:val="center"/>
          </w:tcPr>
          <w:p w14:paraId="6CDA55A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pacing w:val="0"/>
                <w:w w:val="100"/>
                <w:position w:val="0"/>
                <w:sz w:val="21"/>
                <w:highlight w:val="none"/>
              </w:rPr>
            </w:pPr>
          </w:p>
        </w:tc>
        <w:tc>
          <w:tcPr>
            <w:tcW w:w="856" w:type="pct"/>
            <w:vAlign w:val="center"/>
          </w:tcPr>
          <w:p w14:paraId="5FE5046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应急人员培训、演练</w:t>
            </w:r>
          </w:p>
        </w:tc>
        <w:tc>
          <w:tcPr>
            <w:tcW w:w="3273" w:type="pct"/>
            <w:vAlign w:val="center"/>
          </w:tcPr>
          <w:p w14:paraId="5A67D69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定期对应急人员进行应急培训，定期进行环境应急预案演练</w:t>
            </w:r>
          </w:p>
        </w:tc>
        <w:tc>
          <w:tcPr>
            <w:tcW w:w="474" w:type="pct"/>
            <w:vAlign w:val="center"/>
          </w:tcPr>
          <w:p w14:paraId="54C69D9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202</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11</w:t>
            </w:r>
            <w:r>
              <w:rPr>
                <w:rFonts w:ascii="仿宋" w:hAnsi="仿宋" w:eastAsia="仿宋" w:cs="仿宋"/>
                <w:color w:val="auto"/>
                <w:spacing w:val="0"/>
                <w:w w:val="100"/>
                <w:position w:val="0"/>
                <w:sz w:val="24"/>
                <w:szCs w:val="24"/>
                <w:highlight w:val="none"/>
              </w:rPr>
              <w:t>月</w:t>
            </w:r>
          </w:p>
        </w:tc>
      </w:tr>
    </w:tbl>
    <w:p w14:paraId="2FA77253">
      <w:pPr>
        <w:keepNext w:val="0"/>
        <w:keepLines w:val="0"/>
        <w:pageBreakBefore w:val="0"/>
        <w:widowControl/>
        <w:kinsoku/>
        <w:wordWrap/>
        <w:overflowPunct/>
        <w:topLinePunct w:val="0"/>
        <w:autoSpaceDE w:val="0"/>
        <w:autoSpaceDN w:val="0"/>
        <w:bidi w:val="0"/>
        <w:adjustRightInd w:val="0"/>
        <w:snapToGrid w:val="0"/>
        <w:rPr>
          <w:rFonts w:hint="eastAsia" w:eastAsia="宋体"/>
          <w:color w:val="auto"/>
          <w:spacing w:val="0"/>
          <w:w w:val="100"/>
          <w:position w:val="0"/>
          <w:highlight w:val="none"/>
          <w:lang w:eastAsia="zh-CN"/>
        </w:rPr>
        <w:sectPr>
          <w:footerReference r:id="rId13" w:type="default"/>
          <w:pgSz w:w="11912" w:h="16841"/>
          <w:pgMar w:top="1440" w:right="1800" w:bottom="1440" w:left="1800" w:header="0" w:footer="1034" w:gutter="0"/>
          <w:pgNumType w:fmt="decimal"/>
          <w:cols w:space="720" w:num="1"/>
        </w:sectPr>
      </w:pPr>
    </w:p>
    <w:p w14:paraId="78491055">
      <w:pPr>
        <w:keepNext w:val="0"/>
        <w:keepLines w:val="0"/>
        <w:pageBreakBefore w:val="0"/>
        <w:widowControl/>
        <w:kinsoku/>
        <w:wordWrap/>
        <w:overflowPunct/>
        <w:topLinePunct w:val="0"/>
        <w:autoSpaceDE w:val="0"/>
        <w:autoSpaceDN w:val="0"/>
        <w:bidi w:val="0"/>
        <w:adjustRightInd w:val="0"/>
        <w:snapToGrid w:val="0"/>
        <w:spacing w:before="88" w:line="223" w:lineRule="auto"/>
        <w:ind w:left="3878"/>
        <w:outlineLvl w:val="0"/>
        <w:rPr>
          <w:rFonts w:hint="eastAsia" w:eastAsia="仿宋"/>
          <w:color w:val="auto"/>
          <w:spacing w:val="0"/>
          <w:w w:val="100"/>
          <w:position w:val="0"/>
          <w:highlight w:val="none"/>
          <w:lang w:eastAsia="zh-CN"/>
        </w:rPr>
      </w:pPr>
      <w:bookmarkStart w:id="597" w:name="bookmark130"/>
      <w:bookmarkEnd w:id="597"/>
      <w:bookmarkStart w:id="598" w:name="bookmark131"/>
      <w:bookmarkEnd w:id="598"/>
      <w:bookmarkStart w:id="599" w:name="_Toc22749"/>
      <w:bookmarkStart w:id="600" w:name="_Toc8190"/>
      <w:bookmarkStart w:id="601" w:name="_Toc27830"/>
      <w:bookmarkStart w:id="602" w:name="_Toc24018"/>
      <w:bookmarkStart w:id="603" w:name="_Toc16121"/>
      <w:bookmarkStart w:id="604" w:name="_Toc22809"/>
      <w:r>
        <w:rPr>
          <w:rFonts w:ascii="仿宋" w:hAnsi="仿宋" w:eastAsia="仿宋" w:cs="仿宋"/>
          <w:b/>
          <w:bCs/>
          <w:color w:val="auto"/>
          <w:spacing w:val="0"/>
          <w:w w:val="100"/>
          <w:position w:val="0"/>
          <w:sz w:val="43"/>
          <w:szCs w:val="43"/>
          <w:highlight w:val="none"/>
        </w:rPr>
        <w:t>8.结论</w:t>
      </w:r>
      <w:bookmarkEnd w:id="599"/>
      <w:bookmarkEnd w:id="600"/>
      <w:bookmarkEnd w:id="601"/>
      <w:bookmarkEnd w:id="602"/>
      <w:bookmarkEnd w:id="603"/>
      <w:bookmarkEnd w:id="604"/>
    </w:p>
    <w:p w14:paraId="7E86D5A9">
      <w:pPr>
        <w:keepNext w:val="0"/>
        <w:keepLines w:val="0"/>
        <w:pageBreakBefore w:val="0"/>
        <w:widowControl/>
        <w:kinsoku/>
        <w:wordWrap/>
        <w:overflowPunct/>
        <w:topLinePunct w:val="0"/>
        <w:autoSpaceDE w:val="0"/>
        <w:autoSpaceDN w:val="0"/>
        <w:bidi w:val="0"/>
        <w:adjustRightInd w:val="0"/>
        <w:snapToGrid w:val="0"/>
        <w:spacing w:line="360" w:lineRule="auto"/>
        <w:ind w:right="0"/>
        <w:jc w:val="left"/>
        <w:textAlignment w:val="baseline"/>
        <w:outlineLvl w:val="1"/>
        <w:rPr>
          <w:rFonts w:ascii="仿宋" w:hAnsi="仿宋" w:eastAsia="仿宋" w:cs="仿宋"/>
          <w:color w:val="auto"/>
          <w:spacing w:val="0"/>
          <w:w w:val="100"/>
          <w:position w:val="0"/>
          <w:sz w:val="31"/>
          <w:szCs w:val="31"/>
          <w:highlight w:val="none"/>
        </w:rPr>
      </w:pPr>
      <w:bookmarkStart w:id="605" w:name="_Toc7212"/>
      <w:bookmarkStart w:id="606" w:name="_Toc23365"/>
      <w:bookmarkStart w:id="607" w:name="_Toc12816"/>
      <w:bookmarkStart w:id="608" w:name="_Toc18860"/>
      <w:bookmarkStart w:id="609" w:name="_Toc10697"/>
      <w:bookmarkStart w:id="610" w:name="_Toc14294"/>
      <w:r>
        <w:rPr>
          <w:rFonts w:ascii="仿宋" w:hAnsi="仿宋" w:eastAsia="仿宋" w:cs="仿宋"/>
          <w:b/>
          <w:bCs/>
          <w:color w:val="auto"/>
          <w:spacing w:val="0"/>
          <w:w w:val="100"/>
          <w:position w:val="0"/>
          <w:sz w:val="31"/>
          <w:szCs w:val="31"/>
          <w:highlight w:val="none"/>
        </w:rPr>
        <w:t>8.1.综合评估报告结论</w:t>
      </w:r>
      <w:bookmarkEnd w:id="605"/>
      <w:bookmarkEnd w:id="606"/>
      <w:bookmarkEnd w:id="607"/>
      <w:bookmarkEnd w:id="608"/>
      <w:bookmarkEnd w:id="609"/>
      <w:bookmarkEnd w:id="610"/>
    </w:p>
    <w:p w14:paraId="1AE0122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目前，西山水库饮用水水源地已建立风险源名录，且每月对风险源进行巡查，定期开展专项检查。水源地配套的防范设施和应急措施齐备，应急物资较为齐全，建立了应急专家库，市环保局具备相应的应急监测能力。</w:t>
      </w:r>
    </w:p>
    <w:p w14:paraId="2665706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根据饮用水水源环境风险评估方法，分析得出，西山水库水源保护区固定源、流动源、非点源评分分别为R</w:t>
      </w:r>
      <w:r>
        <w:rPr>
          <w:rFonts w:ascii="仿宋" w:hAnsi="仿宋" w:eastAsia="仿宋" w:cs="仿宋"/>
          <w:color w:val="auto"/>
          <w:spacing w:val="0"/>
          <w:w w:val="100"/>
          <w:position w:val="0"/>
          <w:sz w:val="13"/>
          <w:szCs w:val="13"/>
          <w:highlight w:val="none"/>
        </w:rPr>
        <w:t>p</w:t>
      </w:r>
      <w:r>
        <w:rPr>
          <w:rFonts w:ascii="仿宋" w:hAnsi="仿宋" w:eastAsia="仿宋" w:cs="仿宋"/>
          <w:color w:val="auto"/>
          <w:spacing w:val="0"/>
          <w:w w:val="100"/>
          <w:position w:val="0"/>
          <w:sz w:val="28"/>
          <w:szCs w:val="28"/>
          <w:highlight w:val="none"/>
        </w:rPr>
        <w:t>=0、R</w:t>
      </w:r>
      <w:r>
        <w:rPr>
          <w:rFonts w:ascii="仿宋" w:hAnsi="仿宋" w:eastAsia="仿宋" w:cs="仿宋"/>
          <w:color w:val="auto"/>
          <w:spacing w:val="0"/>
          <w:w w:val="100"/>
          <w:position w:val="0"/>
          <w:sz w:val="13"/>
          <w:szCs w:val="13"/>
          <w:highlight w:val="none"/>
        </w:rPr>
        <w:t>f</w:t>
      </w:r>
      <w:r>
        <w:rPr>
          <w:rFonts w:ascii="仿宋" w:hAnsi="仿宋" w:eastAsia="仿宋" w:cs="仿宋"/>
          <w:color w:val="auto"/>
          <w:spacing w:val="0"/>
          <w:w w:val="100"/>
          <w:position w:val="0"/>
          <w:sz w:val="28"/>
          <w:szCs w:val="28"/>
          <w:highlight w:val="none"/>
        </w:rPr>
        <w:t>=</w:t>
      </w:r>
      <w:r>
        <w:rPr>
          <w:rFonts w:hint="eastAsia" w:ascii="仿宋" w:hAnsi="仿宋" w:eastAsia="仿宋" w:cs="仿宋"/>
          <w:color w:val="auto"/>
          <w:spacing w:val="0"/>
          <w:w w:val="100"/>
          <w:position w:val="0"/>
          <w:sz w:val="28"/>
          <w:szCs w:val="28"/>
          <w:highlight w:val="none"/>
          <w:lang w:val="en-US" w:eastAsia="zh-CN"/>
        </w:rPr>
        <w:t>15</w:t>
      </w:r>
      <w:r>
        <w:rPr>
          <w:rFonts w:ascii="仿宋" w:hAnsi="仿宋" w:eastAsia="仿宋" w:cs="仿宋"/>
          <w:color w:val="auto"/>
          <w:spacing w:val="0"/>
          <w:w w:val="100"/>
          <w:position w:val="0"/>
          <w:sz w:val="28"/>
          <w:szCs w:val="28"/>
          <w:highlight w:val="none"/>
        </w:rPr>
        <w:t>、R</w:t>
      </w:r>
      <w:r>
        <w:rPr>
          <w:rFonts w:ascii="仿宋" w:hAnsi="仿宋" w:eastAsia="仿宋" w:cs="仿宋"/>
          <w:color w:val="auto"/>
          <w:spacing w:val="0"/>
          <w:w w:val="100"/>
          <w:position w:val="0"/>
          <w:sz w:val="13"/>
          <w:szCs w:val="13"/>
          <w:highlight w:val="none"/>
        </w:rPr>
        <w:t>y</w:t>
      </w:r>
      <w:r>
        <w:rPr>
          <w:rFonts w:ascii="仿宋" w:hAnsi="仿宋" w:eastAsia="仿宋" w:cs="仿宋"/>
          <w:color w:val="auto"/>
          <w:spacing w:val="0"/>
          <w:w w:val="100"/>
          <w:position w:val="0"/>
          <w:sz w:val="28"/>
          <w:szCs w:val="28"/>
          <w:highlight w:val="none"/>
        </w:rPr>
        <w:t>=</w:t>
      </w:r>
      <w:r>
        <w:rPr>
          <w:rFonts w:hint="eastAsia" w:ascii="仿宋" w:hAnsi="仿宋" w:eastAsia="仿宋" w:cs="仿宋"/>
          <w:color w:val="auto"/>
          <w:spacing w:val="0"/>
          <w:w w:val="100"/>
          <w:position w:val="0"/>
          <w:sz w:val="28"/>
          <w:szCs w:val="28"/>
          <w:highlight w:val="none"/>
          <w:lang w:val="en-US" w:eastAsia="zh-CN"/>
        </w:rPr>
        <w:t>3</w:t>
      </w:r>
      <w:r>
        <w:rPr>
          <w:rFonts w:ascii="仿宋" w:hAnsi="仿宋" w:eastAsia="仿宋" w:cs="仿宋"/>
          <w:color w:val="auto"/>
          <w:spacing w:val="0"/>
          <w:w w:val="100"/>
          <w:position w:val="0"/>
          <w:sz w:val="28"/>
          <w:szCs w:val="28"/>
          <w:highlight w:val="none"/>
        </w:rPr>
        <w:t>，表明西山水库水源保护区固定源</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非点源</w:t>
      </w:r>
      <w:r>
        <w:rPr>
          <w:rFonts w:ascii="仿宋" w:hAnsi="仿宋" w:eastAsia="仿宋" w:cs="仿宋"/>
          <w:color w:val="auto"/>
          <w:spacing w:val="0"/>
          <w:w w:val="100"/>
          <w:position w:val="0"/>
          <w:sz w:val="28"/>
          <w:szCs w:val="28"/>
          <w:highlight w:val="none"/>
        </w:rPr>
        <w:t>风险在可接受风险水平内</w:t>
      </w:r>
      <w:r>
        <w:rPr>
          <w:rFonts w:hint="eastAsia" w:ascii="仿宋" w:hAnsi="仿宋" w:eastAsia="仿宋" w:cs="仿宋"/>
          <w:color w:val="auto"/>
          <w:spacing w:val="0"/>
          <w:w w:val="100"/>
          <w:position w:val="0"/>
          <w:sz w:val="28"/>
          <w:szCs w:val="28"/>
          <w:highlight w:val="none"/>
          <w:lang w:eastAsia="zh-CN"/>
        </w:rPr>
        <w:t>，</w:t>
      </w:r>
      <w:r>
        <w:rPr>
          <w:rFonts w:hint="eastAsia" w:ascii="仿宋" w:hAnsi="仿宋" w:eastAsia="仿宋" w:cs="仿宋"/>
          <w:color w:val="auto"/>
          <w:spacing w:val="0"/>
          <w:w w:val="100"/>
          <w:position w:val="0"/>
          <w:sz w:val="28"/>
          <w:szCs w:val="28"/>
          <w:highlight w:val="none"/>
          <w:lang w:val="en-US" w:eastAsia="zh-CN"/>
        </w:rPr>
        <w:t>流动源应采取风险应急措施</w:t>
      </w:r>
      <w:r>
        <w:rPr>
          <w:rFonts w:ascii="仿宋" w:hAnsi="仿宋" w:eastAsia="仿宋" w:cs="仿宋"/>
          <w:color w:val="auto"/>
          <w:spacing w:val="0"/>
          <w:w w:val="100"/>
          <w:position w:val="0"/>
          <w:sz w:val="28"/>
          <w:szCs w:val="28"/>
          <w:highlight w:val="none"/>
        </w:rPr>
        <w:t>。</w:t>
      </w:r>
    </w:p>
    <w:p w14:paraId="6724172F">
      <w:pPr>
        <w:keepNext w:val="0"/>
        <w:keepLines w:val="0"/>
        <w:pageBreakBefore w:val="0"/>
        <w:widowControl/>
        <w:kinsoku/>
        <w:wordWrap/>
        <w:overflowPunct/>
        <w:topLinePunct w:val="0"/>
        <w:autoSpaceDE w:val="0"/>
        <w:autoSpaceDN w:val="0"/>
        <w:bidi w:val="0"/>
        <w:adjustRightInd w:val="0"/>
        <w:snapToGrid w:val="0"/>
        <w:spacing w:line="360" w:lineRule="auto"/>
        <w:ind w:right="0"/>
        <w:jc w:val="left"/>
        <w:textAlignment w:val="baseline"/>
        <w:outlineLvl w:val="1"/>
        <w:rPr>
          <w:rFonts w:ascii="仿宋" w:hAnsi="仿宋" w:eastAsia="仿宋" w:cs="仿宋"/>
          <w:color w:val="auto"/>
          <w:spacing w:val="0"/>
          <w:w w:val="100"/>
          <w:position w:val="0"/>
          <w:sz w:val="31"/>
          <w:szCs w:val="31"/>
          <w:highlight w:val="none"/>
        </w:rPr>
      </w:pPr>
      <w:bookmarkStart w:id="611" w:name="bookmark132"/>
      <w:bookmarkEnd w:id="611"/>
      <w:bookmarkStart w:id="612" w:name="_Toc1051"/>
      <w:bookmarkStart w:id="613" w:name="_Toc7771"/>
      <w:bookmarkStart w:id="614" w:name="_Toc7097"/>
      <w:bookmarkStart w:id="615" w:name="_Toc8651"/>
      <w:bookmarkStart w:id="616" w:name="_Toc4896"/>
      <w:bookmarkStart w:id="617" w:name="_Toc5875"/>
      <w:r>
        <w:rPr>
          <w:rFonts w:ascii="仿宋" w:hAnsi="仿宋" w:eastAsia="仿宋" w:cs="仿宋"/>
          <w:b/>
          <w:bCs/>
          <w:color w:val="auto"/>
          <w:spacing w:val="0"/>
          <w:w w:val="100"/>
          <w:position w:val="0"/>
          <w:sz w:val="31"/>
          <w:szCs w:val="31"/>
          <w:highlight w:val="none"/>
        </w:rPr>
        <w:t>8.2.建议</w:t>
      </w:r>
      <w:bookmarkEnd w:id="612"/>
      <w:bookmarkEnd w:id="613"/>
      <w:bookmarkEnd w:id="614"/>
      <w:bookmarkEnd w:id="615"/>
      <w:bookmarkEnd w:id="616"/>
      <w:bookmarkEnd w:id="617"/>
    </w:p>
    <w:p w14:paraId="674498C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（1）建议西山水库水源地二级保护区耕地发展有机农业。</w:t>
      </w:r>
    </w:p>
    <w:p w14:paraId="7852000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（2）建议继续加强对固定源、流动源等污染物的环境风险防范工作。</w:t>
      </w:r>
    </w:p>
    <w:p w14:paraId="279BF52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（3）建议加强水源地水质监测，确保水质达标，</w:t>
      </w:r>
    </w:p>
    <w:p w14:paraId="17E2364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w:t>
      </w:r>
      <w:r>
        <w:rPr>
          <w:rFonts w:hint="eastAsia" w:ascii="仿宋" w:hAnsi="仿宋" w:eastAsia="仿宋" w:cs="仿宋"/>
          <w:color w:val="auto"/>
          <w:spacing w:val="0"/>
          <w:w w:val="100"/>
          <w:position w:val="0"/>
          <w:sz w:val="28"/>
          <w:szCs w:val="28"/>
          <w:highlight w:val="none"/>
          <w:lang w:eastAsia="zh-CN"/>
        </w:rPr>
        <w:t>对</w:t>
      </w:r>
      <w:r>
        <w:rPr>
          <w:rFonts w:ascii="仿宋" w:hAnsi="仿宋" w:eastAsia="仿宋" w:cs="仿宋"/>
          <w:color w:val="auto"/>
          <w:spacing w:val="0"/>
          <w:w w:val="100"/>
          <w:position w:val="0"/>
          <w:sz w:val="28"/>
          <w:szCs w:val="28"/>
          <w:highlight w:val="none"/>
        </w:rPr>
        <w:t>供水设施运行的关键控制指标、管理机构运行和环境管理状态加强日常巡查监管等。</w:t>
      </w:r>
    </w:p>
    <w:p w14:paraId="00F024F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（5）建议加强饮用水水源地周边道路管理，完善实时监控设施。</w:t>
      </w:r>
    </w:p>
    <w:p w14:paraId="1CD4056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（6）建议按照本报告的整改措施及计划落实相关工作。</w:t>
      </w:r>
    </w:p>
    <w:p w14:paraId="7C3E705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left"/>
        <w:textAlignment w:val="baseline"/>
        <w:rPr>
          <w:rFonts w:ascii="仿宋" w:hAnsi="仿宋" w:eastAsia="仿宋" w:cs="仿宋"/>
          <w:color w:val="auto"/>
          <w:spacing w:val="0"/>
          <w:w w:val="100"/>
          <w:position w:val="0"/>
          <w:sz w:val="28"/>
          <w:szCs w:val="28"/>
          <w:highlight w:val="none"/>
        </w:rPr>
        <w:sectPr>
          <w:footerReference r:id="rId14" w:type="default"/>
          <w:pgSz w:w="11912" w:h="16841"/>
          <w:pgMar w:top="1440" w:right="1800" w:bottom="1440" w:left="1800" w:header="0" w:footer="1033" w:gutter="0"/>
          <w:pgNumType w:fmt="decimal"/>
          <w:cols w:space="720" w:num="1"/>
        </w:sectPr>
      </w:pPr>
    </w:p>
    <w:p w14:paraId="77857342">
      <w:pPr>
        <w:keepNext w:val="0"/>
        <w:keepLines w:val="0"/>
        <w:pageBreakBefore w:val="0"/>
        <w:widowControl/>
        <w:kinsoku/>
        <w:wordWrap/>
        <w:overflowPunct/>
        <w:topLinePunct w:val="0"/>
        <w:autoSpaceDE w:val="0"/>
        <w:autoSpaceDN w:val="0"/>
        <w:bidi w:val="0"/>
        <w:adjustRightInd w:val="0"/>
        <w:snapToGrid w:val="0"/>
        <w:spacing w:before="56" w:line="214" w:lineRule="auto"/>
        <w:ind w:left="31"/>
        <w:outlineLvl w:val="0"/>
        <w:rPr>
          <w:rFonts w:ascii="仿宋" w:hAnsi="仿宋" w:eastAsia="仿宋" w:cs="仿宋"/>
          <w:color w:val="auto"/>
          <w:spacing w:val="0"/>
          <w:w w:val="100"/>
          <w:position w:val="0"/>
          <w:sz w:val="28"/>
          <w:szCs w:val="28"/>
          <w:highlight w:val="none"/>
        </w:rPr>
      </w:pPr>
      <w:bookmarkStart w:id="618" w:name="_Toc15889"/>
      <w:bookmarkStart w:id="619" w:name="_Toc8694"/>
      <w:bookmarkStart w:id="620" w:name="_Toc7731"/>
      <w:bookmarkStart w:id="621" w:name="_Toc32647"/>
      <w:bookmarkStart w:id="622" w:name="_Toc21600"/>
      <w:bookmarkStart w:id="623" w:name="_Toc4076"/>
      <w:bookmarkStart w:id="624" w:name="_Toc20635"/>
      <w:r>
        <w:rPr>
          <w:rFonts w:ascii="仿宋" w:hAnsi="仿宋" w:eastAsia="仿宋" w:cs="仿宋"/>
          <w:b/>
          <w:bCs/>
          <w:color w:val="auto"/>
          <w:spacing w:val="0"/>
          <w:w w:val="100"/>
          <w:position w:val="0"/>
          <w:sz w:val="28"/>
          <w:szCs w:val="28"/>
          <w:highlight w:val="none"/>
        </w:rPr>
        <w:t>附图1乌翠区饮用水水源保护区调整划分图</w:t>
      </w:r>
      <w:bookmarkEnd w:id="618"/>
      <w:bookmarkEnd w:id="619"/>
      <w:bookmarkEnd w:id="620"/>
      <w:bookmarkEnd w:id="621"/>
      <w:bookmarkEnd w:id="622"/>
      <w:bookmarkEnd w:id="623"/>
      <w:bookmarkEnd w:id="624"/>
    </w:p>
    <w:p w14:paraId="31BC1422">
      <w:pPr>
        <w:keepNext w:val="0"/>
        <w:keepLines w:val="0"/>
        <w:pageBreakBefore w:val="0"/>
        <w:widowControl/>
        <w:kinsoku/>
        <w:wordWrap/>
        <w:overflowPunct/>
        <w:topLinePunct w:val="0"/>
        <w:autoSpaceDE w:val="0"/>
        <w:autoSpaceDN w:val="0"/>
        <w:bidi w:val="0"/>
        <w:adjustRightInd w:val="0"/>
        <w:snapToGrid w:val="0"/>
        <w:spacing w:line="12994" w:lineRule="exact"/>
        <w:rPr>
          <w:color w:val="auto"/>
          <w:spacing w:val="0"/>
          <w:w w:val="100"/>
          <w:position w:val="0"/>
          <w:highlight w:val="none"/>
        </w:rPr>
      </w:pPr>
      <w:r>
        <w:rPr>
          <w:color w:val="auto"/>
          <w:spacing w:val="0"/>
          <w:w w:val="100"/>
          <w:position w:val="0"/>
          <w:highlight w:val="none"/>
        </w:rPr>
        <w:drawing>
          <wp:inline distT="0" distB="0" distL="0" distR="0">
            <wp:extent cx="5836920" cy="825119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0"/>
                    <a:stretch>
                      <a:fillRect/>
                    </a:stretch>
                  </pic:blipFill>
                  <pic:spPr>
                    <a:xfrm>
                      <a:off x="0" y="0"/>
                      <a:ext cx="5837554" cy="8251571"/>
                    </a:xfrm>
                    <a:prstGeom prst="rect">
                      <a:avLst/>
                    </a:prstGeom>
                  </pic:spPr>
                </pic:pic>
              </a:graphicData>
            </a:graphic>
          </wp:inline>
        </w:drawing>
      </w:r>
    </w:p>
    <w:p w14:paraId="3D73713D">
      <w:pPr>
        <w:keepNext w:val="0"/>
        <w:keepLines w:val="0"/>
        <w:pageBreakBefore w:val="0"/>
        <w:widowControl/>
        <w:kinsoku/>
        <w:wordWrap/>
        <w:overflowPunct/>
        <w:topLinePunct w:val="0"/>
        <w:autoSpaceDE w:val="0"/>
        <w:autoSpaceDN w:val="0"/>
        <w:bidi w:val="0"/>
        <w:adjustRightInd w:val="0"/>
        <w:snapToGrid w:val="0"/>
        <w:spacing w:line="12994" w:lineRule="exact"/>
        <w:rPr>
          <w:color w:val="auto"/>
          <w:spacing w:val="0"/>
          <w:w w:val="100"/>
          <w:position w:val="0"/>
          <w:highlight w:val="none"/>
        </w:rPr>
        <w:sectPr>
          <w:footerReference r:id="rId15" w:type="default"/>
          <w:pgSz w:w="11912" w:h="16841"/>
          <w:pgMar w:top="1440" w:right="1800" w:bottom="1440" w:left="1800" w:header="0" w:footer="807" w:gutter="0"/>
          <w:pgNumType w:fmt="decimal"/>
          <w:cols w:space="720" w:num="1"/>
        </w:sectPr>
      </w:pPr>
    </w:p>
    <w:p w14:paraId="056D094B">
      <w:pPr>
        <w:keepNext w:val="0"/>
        <w:keepLines w:val="0"/>
        <w:pageBreakBefore w:val="0"/>
        <w:widowControl/>
        <w:kinsoku/>
        <w:wordWrap/>
        <w:overflowPunct/>
        <w:topLinePunct w:val="0"/>
        <w:autoSpaceDE w:val="0"/>
        <w:autoSpaceDN w:val="0"/>
        <w:bidi w:val="0"/>
        <w:adjustRightInd w:val="0"/>
        <w:snapToGrid w:val="0"/>
        <w:spacing w:before="56" w:line="214" w:lineRule="auto"/>
        <w:ind w:left="31"/>
        <w:outlineLvl w:val="0"/>
        <w:rPr>
          <w:rFonts w:ascii="仿宋" w:hAnsi="仿宋" w:eastAsia="仿宋" w:cs="仿宋"/>
          <w:color w:val="auto"/>
          <w:spacing w:val="0"/>
          <w:w w:val="100"/>
          <w:position w:val="0"/>
          <w:sz w:val="28"/>
          <w:szCs w:val="28"/>
          <w:highlight w:val="none"/>
        </w:rPr>
      </w:pPr>
      <w:bookmarkStart w:id="625" w:name="_Toc19804"/>
      <w:bookmarkStart w:id="626" w:name="_Toc23965"/>
      <w:bookmarkStart w:id="627" w:name="_Toc13935"/>
      <w:bookmarkStart w:id="628" w:name="_Toc24508"/>
      <w:bookmarkStart w:id="629" w:name="_Toc15996"/>
      <w:bookmarkStart w:id="630" w:name="_Toc19839"/>
      <w:bookmarkStart w:id="631" w:name="_Toc15621"/>
      <w:r>
        <w:rPr>
          <w:rFonts w:ascii="仿宋" w:hAnsi="仿宋" w:eastAsia="仿宋" w:cs="仿宋"/>
          <w:b/>
          <w:bCs/>
          <w:color w:val="auto"/>
          <w:spacing w:val="0"/>
          <w:w w:val="100"/>
          <w:position w:val="0"/>
          <w:sz w:val="28"/>
          <w:szCs w:val="28"/>
          <w:highlight w:val="none"/>
        </w:rPr>
        <w:t>附图2乌翠区饮用水水源保护区监测断面分布图</w:t>
      </w:r>
      <w:bookmarkEnd w:id="625"/>
      <w:bookmarkEnd w:id="626"/>
      <w:bookmarkEnd w:id="627"/>
      <w:bookmarkEnd w:id="628"/>
      <w:bookmarkEnd w:id="629"/>
      <w:bookmarkEnd w:id="630"/>
      <w:bookmarkEnd w:id="631"/>
    </w:p>
    <w:p w14:paraId="3AAF065D">
      <w:pPr>
        <w:keepNext w:val="0"/>
        <w:keepLines w:val="0"/>
        <w:pageBreakBefore w:val="0"/>
        <w:widowControl/>
        <w:kinsoku/>
        <w:wordWrap/>
        <w:overflowPunct/>
        <w:topLinePunct w:val="0"/>
        <w:autoSpaceDE w:val="0"/>
        <w:autoSpaceDN w:val="0"/>
        <w:bidi w:val="0"/>
        <w:adjustRightInd w:val="0"/>
        <w:snapToGrid w:val="0"/>
        <w:spacing w:line="12582" w:lineRule="exact"/>
        <w:rPr>
          <w:color w:val="auto"/>
          <w:spacing w:val="0"/>
          <w:w w:val="100"/>
          <w:position w:val="0"/>
          <w:highlight w:val="none"/>
        </w:rPr>
      </w:pPr>
      <w:r>
        <w:rPr>
          <w:color w:val="auto"/>
          <w:spacing w:val="0"/>
          <w:w w:val="100"/>
          <w:position w:val="0"/>
          <w:highlight w:val="none"/>
        </w:rPr>
        <w:drawing>
          <wp:inline distT="0" distB="0" distL="0" distR="0">
            <wp:extent cx="5624195" cy="798957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1"/>
                    <a:stretch>
                      <a:fillRect/>
                    </a:stretch>
                  </pic:blipFill>
                  <pic:spPr>
                    <a:xfrm>
                      <a:off x="0" y="0"/>
                      <a:ext cx="5624829" cy="7990204"/>
                    </a:xfrm>
                    <a:prstGeom prst="rect">
                      <a:avLst/>
                    </a:prstGeom>
                  </pic:spPr>
                </pic:pic>
              </a:graphicData>
            </a:graphic>
          </wp:inline>
        </w:drawing>
      </w:r>
    </w:p>
    <w:p w14:paraId="23920594">
      <w:pPr>
        <w:keepNext w:val="0"/>
        <w:keepLines w:val="0"/>
        <w:pageBreakBefore w:val="0"/>
        <w:widowControl/>
        <w:kinsoku/>
        <w:wordWrap/>
        <w:overflowPunct/>
        <w:topLinePunct w:val="0"/>
        <w:autoSpaceDE w:val="0"/>
        <w:autoSpaceDN w:val="0"/>
        <w:bidi w:val="0"/>
        <w:adjustRightInd w:val="0"/>
        <w:snapToGrid w:val="0"/>
        <w:spacing w:line="12582" w:lineRule="exact"/>
        <w:rPr>
          <w:color w:val="auto"/>
          <w:spacing w:val="0"/>
          <w:w w:val="100"/>
          <w:position w:val="0"/>
          <w:highlight w:val="none"/>
        </w:rPr>
        <w:sectPr>
          <w:pgSz w:w="11912" w:h="16841"/>
          <w:pgMar w:top="1440" w:right="1800" w:bottom="1440" w:left="1800" w:header="0" w:footer="808" w:gutter="0"/>
          <w:pgNumType w:fmt="decimal"/>
          <w:cols w:space="720" w:num="1"/>
        </w:sectPr>
      </w:pPr>
    </w:p>
    <w:p w14:paraId="58DAAD63">
      <w:pPr>
        <w:pStyle w:val="3"/>
        <w:keepNext w:val="0"/>
        <w:keepLines w:val="0"/>
        <w:pageBreakBefore w:val="0"/>
        <w:widowControl/>
        <w:kinsoku/>
        <w:wordWrap/>
        <w:overflowPunct/>
        <w:topLinePunct w:val="0"/>
        <w:autoSpaceDE w:val="0"/>
        <w:autoSpaceDN w:val="0"/>
        <w:bidi w:val="0"/>
        <w:adjustRightInd w:val="0"/>
        <w:snapToGrid w:val="0"/>
        <w:spacing w:line="274" w:lineRule="auto"/>
        <w:rPr>
          <w:color w:val="auto"/>
          <w:spacing w:val="0"/>
          <w:w w:val="100"/>
          <w:position w:val="0"/>
          <w:highlight w:val="none"/>
        </w:rPr>
      </w:pPr>
    </w:p>
    <w:p w14:paraId="048CF370">
      <w:pPr>
        <w:pStyle w:val="3"/>
        <w:keepNext w:val="0"/>
        <w:keepLines w:val="0"/>
        <w:pageBreakBefore w:val="0"/>
        <w:widowControl/>
        <w:kinsoku/>
        <w:wordWrap/>
        <w:overflowPunct/>
        <w:topLinePunct w:val="0"/>
        <w:autoSpaceDE w:val="0"/>
        <w:autoSpaceDN w:val="0"/>
        <w:bidi w:val="0"/>
        <w:adjustRightInd w:val="0"/>
        <w:snapToGrid w:val="0"/>
        <w:spacing w:line="274" w:lineRule="auto"/>
        <w:rPr>
          <w:color w:val="auto"/>
          <w:spacing w:val="0"/>
          <w:w w:val="100"/>
          <w:position w:val="0"/>
          <w:highlight w:val="none"/>
        </w:rPr>
      </w:pPr>
    </w:p>
    <w:p w14:paraId="71C7AB24">
      <w:pPr>
        <w:pStyle w:val="3"/>
        <w:keepNext w:val="0"/>
        <w:keepLines w:val="0"/>
        <w:pageBreakBefore w:val="0"/>
        <w:widowControl/>
        <w:kinsoku/>
        <w:wordWrap/>
        <w:overflowPunct/>
        <w:topLinePunct w:val="0"/>
        <w:autoSpaceDE w:val="0"/>
        <w:autoSpaceDN w:val="0"/>
        <w:bidi w:val="0"/>
        <w:adjustRightInd w:val="0"/>
        <w:snapToGrid w:val="0"/>
        <w:spacing w:line="274" w:lineRule="auto"/>
        <w:rPr>
          <w:color w:val="auto"/>
          <w:spacing w:val="0"/>
          <w:w w:val="100"/>
          <w:position w:val="0"/>
          <w:highlight w:val="none"/>
        </w:rPr>
      </w:pPr>
    </w:p>
    <w:p w14:paraId="779055C8">
      <w:pPr>
        <w:pStyle w:val="3"/>
        <w:keepNext w:val="0"/>
        <w:keepLines w:val="0"/>
        <w:pageBreakBefore w:val="0"/>
        <w:widowControl/>
        <w:kinsoku/>
        <w:wordWrap/>
        <w:overflowPunct/>
        <w:topLinePunct w:val="0"/>
        <w:autoSpaceDE w:val="0"/>
        <w:autoSpaceDN w:val="0"/>
        <w:bidi w:val="0"/>
        <w:adjustRightInd w:val="0"/>
        <w:snapToGrid w:val="0"/>
        <w:spacing w:line="275" w:lineRule="auto"/>
        <w:rPr>
          <w:color w:val="auto"/>
          <w:spacing w:val="0"/>
          <w:w w:val="100"/>
          <w:position w:val="0"/>
          <w:highlight w:val="none"/>
        </w:rPr>
      </w:pPr>
    </w:p>
    <w:p w14:paraId="7EDBEC1A">
      <w:pPr>
        <w:pStyle w:val="3"/>
        <w:keepNext w:val="0"/>
        <w:keepLines w:val="0"/>
        <w:pageBreakBefore w:val="0"/>
        <w:widowControl/>
        <w:kinsoku/>
        <w:wordWrap/>
        <w:overflowPunct/>
        <w:topLinePunct w:val="0"/>
        <w:autoSpaceDE w:val="0"/>
        <w:autoSpaceDN w:val="0"/>
        <w:bidi w:val="0"/>
        <w:adjustRightInd w:val="0"/>
        <w:snapToGrid w:val="0"/>
        <w:spacing w:line="275" w:lineRule="auto"/>
        <w:rPr>
          <w:color w:val="auto"/>
          <w:spacing w:val="0"/>
          <w:w w:val="100"/>
          <w:position w:val="0"/>
          <w:highlight w:val="none"/>
        </w:rPr>
      </w:pPr>
    </w:p>
    <w:p w14:paraId="27DCB910">
      <w:pPr>
        <w:keepNext w:val="0"/>
        <w:keepLines w:val="0"/>
        <w:pageBreakBefore w:val="0"/>
        <w:widowControl/>
        <w:kinsoku/>
        <w:wordWrap/>
        <w:overflowPunct/>
        <w:topLinePunct w:val="0"/>
        <w:autoSpaceDE w:val="0"/>
        <w:autoSpaceDN w:val="0"/>
        <w:bidi w:val="0"/>
        <w:adjustRightInd w:val="0"/>
        <w:snapToGrid w:val="0"/>
        <w:spacing w:before="169" w:line="218" w:lineRule="auto"/>
        <w:ind w:left="2645"/>
        <w:rPr>
          <w:rFonts w:ascii="仿宋" w:hAnsi="仿宋" w:eastAsia="仿宋" w:cs="仿宋"/>
          <w:color w:val="auto"/>
          <w:spacing w:val="0"/>
          <w:w w:val="100"/>
          <w:position w:val="0"/>
          <w:sz w:val="52"/>
          <w:szCs w:val="52"/>
          <w:highlight w:val="none"/>
        </w:rPr>
      </w:pPr>
      <w:r>
        <w:rPr>
          <w:rFonts w:ascii="仿宋" w:hAnsi="仿宋" w:eastAsia="仿宋" w:cs="仿宋"/>
          <w:b/>
          <w:bCs/>
          <w:color w:val="auto"/>
          <w:spacing w:val="0"/>
          <w:w w:val="100"/>
          <w:position w:val="0"/>
          <w:sz w:val="52"/>
          <w:szCs w:val="52"/>
          <w:highlight w:val="none"/>
        </w:rPr>
        <w:t>伊春市乌翠区</w:t>
      </w:r>
    </w:p>
    <w:p w14:paraId="35B21878">
      <w:pPr>
        <w:keepNext w:val="0"/>
        <w:keepLines w:val="0"/>
        <w:pageBreakBefore w:val="0"/>
        <w:widowControl/>
        <w:kinsoku/>
        <w:wordWrap/>
        <w:overflowPunct/>
        <w:topLinePunct w:val="0"/>
        <w:autoSpaceDE w:val="0"/>
        <w:autoSpaceDN w:val="0"/>
        <w:bidi w:val="0"/>
        <w:adjustRightInd w:val="0"/>
        <w:snapToGrid w:val="0"/>
        <w:spacing w:before="126" w:line="263" w:lineRule="auto"/>
        <w:ind w:left="2115" w:right="1035" w:hanging="1042"/>
        <w:rPr>
          <w:rFonts w:ascii="仿宋" w:hAnsi="仿宋" w:eastAsia="仿宋" w:cs="仿宋"/>
          <w:color w:val="auto"/>
          <w:spacing w:val="0"/>
          <w:w w:val="100"/>
          <w:position w:val="0"/>
          <w:sz w:val="52"/>
          <w:szCs w:val="52"/>
          <w:highlight w:val="none"/>
        </w:rPr>
      </w:pPr>
      <w:r>
        <w:rPr>
          <w:rFonts w:ascii="仿宋" w:hAnsi="仿宋" w:eastAsia="仿宋" w:cs="仿宋"/>
          <w:b/>
          <w:bCs/>
          <w:color w:val="auto"/>
          <w:spacing w:val="0"/>
          <w:w w:val="100"/>
          <w:position w:val="0"/>
          <w:sz w:val="52"/>
          <w:szCs w:val="52"/>
          <w:highlight w:val="none"/>
        </w:rPr>
        <w:t>集中式地表水饮用水水源地应急资源调查报告</w:t>
      </w:r>
    </w:p>
    <w:p w14:paraId="0F1C6990">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06B7C730">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1F99E3D9">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2FF87E87">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72314A4D">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794224D9">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41D09C2E">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265E2A06">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163BF853">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4763D374">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70244969">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15473BC0">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33123413">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2722A0B1">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7F10C453">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707098FD">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4687F194">
      <w:pPr>
        <w:pStyle w:val="3"/>
        <w:keepNext w:val="0"/>
        <w:keepLines w:val="0"/>
        <w:pageBreakBefore w:val="0"/>
        <w:widowControl/>
        <w:kinsoku/>
        <w:wordWrap/>
        <w:overflowPunct/>
        <w:topLinePunct w:val="0"/>
        <w:autoSpaceDE w:val="0"/>
        <w:autoSpaceDN w:val="0"/>
        <w:bidi w:val="0"/>
        <w:adjustRightInd w:val="0"/>
        <w:snapToGrid w:val="0"/>
        <w:rPr>
          <w:color w:val="auto"/>
          <w:spacing w:val="0"/>
          <w:w w:val="100"/>
          <w:position w:val="0"/>
          <w:highlight w:val="none"/>
        </w:rPr>
      </w:pPr>
    </w:p>
    <w:p w14:paraId="7F2DFA88">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14DDD267">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5C79B510">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7C846A9C">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3EF12EF2">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69D0CE41">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08FFEA48">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16FF6443">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09BD447B">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61B985CE">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7EBE429B">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301C1120">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01FD7A8B">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1CCA41D3">
      <w:pPr>
        <w:pStyle w:val="3"/>
        <w:keepNext w:val="0"/>
        <w:keepLines w:val="0"/>
        <w:pageBreakBefore w:val="0"/>
        <w:widowControl/>
        <w:kinsoku/>
        <w:wordWrap/>
        <w:overflowPunct/>
        <w:topLinePunct w:val="0"/>
        <w:autoSpaceDE w:val="0"/>
        <w:autoSpaceDN w:val="0"/>
        <w:bidi w:val="0"/>
        <w:adjustRightInd w:val="0"/>
        <w:snapToGrid w:val="0"/>
        <w:spacing w:line="241" w:lineRule="auto"/>
        <w:rPr>
          <w:color w:val="auto"/>
          <w:spacing w:val="0"/>
          <w:w w:val="100"/>
          <w:position w:val="0"/>
          <w:highlight w:val="none"/>
        </w:rPr>
      </w:pPr>
    </w:p>
    <w:p w14:paraId="01742297">
      <w:pPr>
        <w:keepNext w:val="0"/>
        <w:keepLines w:val="0"/>
        <w:pageBreakBefore w:val="0"/>
        <w:widowControl/>
        <w:kinsoku/>
        <w:wordWrap/>
        <w:overflowPunct/>
        <w:topLinePunct w:val="0"/>
        <w:autoSpaceDE w:val="0"/>
        <w:autoSpaceDN w:val="0"/>
        <w:bidi w:val="0"/>
        <w:adjustRightInd w:val="0"/>
        <w:snapToGrid w:val="0"/>
        <w:spacing w:before="98" w:line="217" w:lineRule="auto"/>
        <w:ind w:left="2467"/>
        <w:rPr>
          <w:rFonts w:ascii="仿宋" w:hAnsi="仿宋" w:eastAsia="仿宋" w:cs="仿宋"/>
          <w:color w:val="auto"/>
          <w:spacing w:val="0"/>
          <w:w w:val="100"/>
          <w:position w:val="0"/>
          <w:sz w:val="30"/>
          <w:szCs w:val="30"/>
          <w:highlight w:val="none"/>
        </w:rPr>
      </w:pPr>
      <w:r>
        <w:rPr>
          <w:rFonts w:ascii="仿宋" w:hAnsi="仿宋" w:eastAsia="仿宋" w:cs="仿宋"/>
          <w:b/>
          <w:bCs/>
          <w:color w:val="auto"/>
          <w:spacing w:val="0"/>
          <w:w w:val="100"/>
          <w:position w:val="0"/>
          <w:sz w:val="30"/>
          <w:szCs w:val="30"/>
          <w:highlight w:val="none"/>
        </w:rPr>
        <w:t>编制单位：乌翠区人民政府</w:t>
      </w:r>
    </w:p>
    <w:p w14:paraId="14B22602">
      <w:pPr>
        <w:pStyle w:val="3"/>
        <w:keepNext w:val="0"/>
        <w:keepLines w:val="0"/>
        <w:pageBreakBefore w:val="0"/>
        <w:widowControl/>
        <w:kinsoku/>
        <w:wordWrap/>
        <w:overflowPunct/>
        <w:topLinePunct w:val="0"/>
        <w:autoSpaceDE w:val="0"/>
        <w:autoSpaceDN w:val="0"/>
        <w:bidi w:val="0"/>
        <w:adjustRightInd w:val="0"/>
        <w:snapToGrid w:val="0"/>
        <w:spacing w:line="453" w:lineRule="auto"/>
        <w:rPr>
          <w:color w:val="auto"/>
          <w:spacing w:val="0"/>
          <w:w w:val="100"/>
          <w:position w:val="0"/>
          <w:highlight w:val="none"/>
        </w:rPr>
      </w:pPr>
    </w:p>
    <w:p w14:paraId="448D2B6B">
      <w:pPr>
        <w:keepNext w:val="0"/>
        <w:keepLines w:val="0"/>
        <w:pageBreakBefore w:val="0"/>
        <w:widowControl/>
        <w:kinsoku/>
        <w:wordWrap/>
        <w:overflowPunct/>
        <w:topLinePunct w:val="0"/>
        <w:autoSpaceDE w:val="0"/>
        <w:autoSpaceDN w:val="0"/>
        <w:bidi w:val="0"/>
        <w:adjustRightInd w:val="0"/>
        <w:snapToGrid w:val="0"/>
        <w:spacing w:before="97" w:line="217" w:lineRule="auto"/>
        <w:ind w:left="2325"/>
        <w:rPr>
          <w:rFonts w:ascii="仿宋" w:hAnsi="仿宋" w:eastAsia="仿宋" w:cs="仿宋"/>
          <w:color w:val="auto"/>
          <w:spacing w:val="0"/>
          <w:w w:val="100"/>
          <w:position w:val="0"/>
          <w:sz w:val="30"/>
          <w:szCs w:val="30"/>
          <w:highlight w:val="none"/>
        </w:rPr>
      </w:pPr>
      <w:r>
        <w:rPr>
          <w:rFonts w:ascii="仿宋" w:hAnsi="仿宋" w:eastAsia="仿宋" w:cs="仿宋"/>
          <w:b/>
          <w:bCs/>
          <w:color w:val="auto"/>
          <w:spacing w:val="0"/>
          <w:w w:val="100"/>
          <w:position w:val="0"/>
          <w:sz w:val="30"/>
          <w:szCs w:val="30"/>
          <w:highlight w:val="none"/>
        </w:rPr>
        <w:t>编制时间：</w:t>
      </w:r>
      <w:r>
        <w:rPr>
          <w:rFonts w:hint="eastAsia" w:ascii="仿宋" w:hAnsi="仿宋" w:eastAsia="仿宋" w:cs="仿宋"/>
          <w:b/>
          <w:bCs/>
          <w:color w:val="auto"/>
          <w:spacing w:val="0"/>
          <w:w w:val="100"/>
          <w:position w:val="0"/>
          <w:sz w:val="30"/>
          <w:szCs w:val="30"/>
          <w:highlight w:val="none"/>
          <w:lang w:eastAsia="zh-CN"/>
        </w:rPr>
        <w:t>二〇二六</w:t>
      </w:r>
      <w:r>
        <w:rPr>
          <w:rFonts w:ascii="仿宋" w:hAnsi="仿宋" w:eastAsia="仿宋" w:cs="仿宋"/>
          <w:b/>
          <w:bCs/>
          <w:color w:val="auto"/>
          <w:spacing w:val="0"/>
          <w:w w:val="100"/>
          <w:position w:val="0"/>
          <w:sz w:val="30"/>
          <w:szCs w:val="30"/>
          <w:highlight w:val="none"/>
        </w:rPr>
        <w:t>年</w:t>
      </w:r>
      <w:r>
        <w:rPr>
          <w:rFonts w:hint="eastAsia" w:ascii="仿宋" w:hAnsi="仿宋" w:eastAsia="仿宋" w:cs="仿宋"/>
          <w:b/>
          <w:bCs/>
          <w:color w:val="auto"/>
          <w:spacing w:val="0"/>
          <w:w w:val="100"/>
          <w:position w:val="0"/>
          <w:sz w:val="30"/>
          <w:szCs w:val="30"/>
          <w:highlight w:val="none"/>
          <w:lang w:val="en-US" w:eastAsia="zh-CN"/>
        </w:rPr>
        <w:t>九</w:t>
      </w:r>
      <w:r>
        <w:rPr>
          <w:rFonts w:ascii="仿宋" w:hAnsi="仿宋" w:eastAsia="仿宋" w:cs="仿宋"/>
          <w:b/>
          <w:bCs/>
          <w:color w:val="auto"/>
          <w:spacing w:val="0"/>
          <w:w w:val="100"/>
          <w:position w:val="0"/>
          <w:sz w:val="30"/>
          <w:szCs w:val="30"/>
          <w:highlight w:val="none"/>
        </w:rPr>
        <w:t>月</w:t>
      </w:r>
    </w:p>
    <w:p w14:paraId="35532780">
      <w:pPr>
        <w:rPr>
          <w:rFonts w:ascii="仿宋" w:hAnsi="仿宋" w:eastAsia="仿宋" w:cs="仿宋"/>
          <w:color w:val="auto"/>
          <w:spacing w:val="0"/>
          <w:w w:val="100"/>
          <w:position w:val="0"/>
          <w:sz w:val="30"/>
          <w:szCs w:val="30"/>
          <w:highlight w:val="none"/>
        </w:rPr>
      </w:pPr>
      <w:r>
        <w:rPr>
          <w:rFonts w:ascii="仿宋" w:hAnsi="仿宋" w:eastAsia="仿宋" w:cs="仿宋"/>
          <w:color w:val="auto"/>
          <w:spacing w:val="0"/>
          <w:w w:val="100"/>
          <w:position w:val="0"/>
          <w:sz w:val="30"/>
          <w:szCs w:val="30"/>
          <w:highlight w:val="none"/>
        </w:rPr>
        <w:br w:type="page"/>
      </w:r>
    </w:p>
    <w:p w14:paraId="6D65828C">
      <w:pPr>
        <w:keepNext w:val="0"/>
        <w:keepLines w:val="0"/>
        <w:pageBreakBefore w:val="0"/>
        <w:widowControl/>
        <w:kinsoku/>
        <w:wordWrap/>
        <w:overflowPunct/>
        <w:topLinePunct w:val="0"/>
        <w:autoSpaceDE w:val="0"/>
        <w:autoSpaceDN w:val="0"/>
        <w:bidi w:val="0"/>
        <w:adjustRightInd w:val="0"/>
        <w:snapToGrid w:val="0"/>
        <w:spacing w:line="217" w:lineRule="auto"/>
        <w:rPr>
          <w:rFonts w:ascii="仿宋" w:hAnsi="仿宋" w:eastAsia="仿宋" w:cs="仿宋"/>
          <w:color w:val="auto"/>
          <w:spacing w:val="0"/>
          <w:w w:val="100"/>
          <w:position w:val="0"/>
          <w:sz w:val="30"/>
          <w:szCs w:val="30"/>
          <w:highlight w:val="none"/>
        </w:rPr>
        <w:sectPr>
          <w:footerReference r:id="rId16" w:type="default"/>
          <w:pgSz w:w="11907" w:h="16841"/>
          <w:pgMar w:top="1440" w:right="1800" w:bottom="1440" w:left="1800" w:header="0" w:footer="0" w:gutter="0"/>
          <w:pgNumType w:fmt="decimal"/>
          <w:cols w:space="720" w:num="1"/>
        </w:sectPr>
      </w:pPr>
    </w:p>
    <w:sdt>
      <w:sdtPr>
        <w:rPr>
          <w:rFonts w:ascii="宋体" w:hAnsi="宋体" w:eastAsia="宋体" w:cs="Arial"/>
          <w:snapToGrid w:val="0"/>
          <w:color w:val="auto"/>
          <w:kern w:val="0"/>
          <w:sz w:val="21"/>
          <w:szCs w:val="21"/>
          <w:highlight w:val="none"/>
          <w:lang w:val="en-US" w:eastAsia="en-US" w:bidi="ar-SA"/>
        </w:rPr>
        <w:id w:val="147482895"/>
        <w15:color w:val="DBDBDB"/>
        <w:docPartObj>
          <w:docPartGallery w:val="Table of Contents"/>
          <w:docPartUnique/>
        </w:docPartObj>
      </w:sdtPr>
      <w:sdtEndPr>
        <w:rPr>
          <w:rFonts w:ascii="仿宋" w:hAnsi="仿宋" w:eastAsia="仿宋" w:cs="仿宋"/>
          <w:snapToGrid w:val="0"/>
          <w:color w:val="auto"/>
          <w:spacing w:val="0"/>
          <w:w w:val="100"/>
          <w:kern w:val="0"/>
          <w:position w:val="0"/>
          <w:sz w:val="21"/>
          <w:szCs w:val="30"/>
          <w:highlight w:val="none"/>
          <w:lang w:val="en-US" w:eastAsia="en-US" w:bidi="ar-SA"/>
        </w:rPr>
      </w:sdtEndPr>
      <w:sdtContent>
        <w:p w14:paraId="70CB9EE8">
          <w:pPr>
            <w:spacing w:before="0" w:beforeLines="0" w:after="0" w:afterLines="0" w:line="240" w:lineRule="auto"/>
            <w:ind w:left="0" w:leftChars="0" w:right="0" w:rightChars="0" w:firstLine="0" w:firstLineChars="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目录</w:t>
          </w:r>
        </w:p>
        <w:p w14:paraId="0FA99187">
          <w:pPr>
            <w:pStyle w:val="7"/>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0"/>
              <w:w w:val="100"/>
              <w:position w:val="0"/>
              <w:sz w:val="24"/>
              <w:szCs w:val="24"/>
              <w:highlight w:val="none"/>
            </w:rPr>
            <w:fldChar w:fldCharType="begin"/>
          </w:r>
          <w:r>
            <w:rPr>
              <w:rFonts w:hint="eastAsia" w:ascii="仿宋" w:hAnsi="仿宋" w:eastAsia="仿宋" w:cs="仿宋"/>
              <w:color w:val="auto"/>
              <w:spacing w:val="0"/>
              <w:w w:val="100"/>
              <w:position w:val="0"/>
              <w:sz w:val="24"/>
              <w:szCs w:val="24"/>
              <w:highlight w:val="none"/>
            </w:rPr>
            <w:instrText xml:space="preserve">TOC \o "1-2" \h \u </w:instrText>
          </w:r>
          <w:r>
            <w:rPr>
              <w:rFonts w:hint="eastAsia" w:ascii="仿宋" w:hAnsi="仿宋" w:eastAsia="仿宋" w:cs="仿宋"/>
              <w:color w:val="auto"/>
              <w:spacing w:val="0"/>
              <w:w w:val="100"/>
              <w:position w:val="0"/>
              <w:sz w:val="24"/>
              <w:szCs w:val="24"/>
              <w:highlight w:val="none"/>
            </w:rPr>
            <w:fldChar w:fldCharType="separate"/>
          </w:r>
        </w:p>
        <w:p w14:paraId="6DBE2EBD">
          <w:pPr>
            <w:pStyle w:val="7"/>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_Toc23725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1前言</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_Toc23725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61A2E4D1">
          <w:pPr>
            <w:pStyle w:val="7"/>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_Toc29509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2环境应急资源调查工作的目的</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_Toc29509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5BC30F1B">
          <w:pPr>
            <w:pStyle w:val="7"/>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_Toc5366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3项目应急救援工作的开展情况</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_Toc5366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7049B1E6">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_Toc15139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3.1目前工作开展情况</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_Toc15139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79AB5C38">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_Toc13264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3.2应急物资</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_Toc13264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3</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391376E9">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_Toc8540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3.3应急队伍</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_Toc8540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19249B8B">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_Toc18032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3.4环境应急专项经费调查</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_Toc18032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8</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2AEC76C5">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_Toc28858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3.5科技支撑</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_Toc28858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10</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4A70001E">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_Toc15676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3.6应急资料</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_Toc15676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10</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4E498169">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_Toc28100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3.7制度保障</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_Toc28100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10</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1D71A4F4">
          <w:pPr>
            <w:pStyle w:val="7"/>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_Toc29041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4存在的问题和完善建议</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_Toc29041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11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3AA6CBDA">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_Toc24658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4.1存在的问题</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_Toc24658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11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7B5C8E8D">
          <w:pPr>
            <w:pStyle w:val="8"/>
            <w:keepNext w:val="0"/>
            <w:keepLines w:val="0"/>
            <w:pageBreakBefore w:val="0"/>
            <w:widowControl/>
            <w:tabs>
              <w:tab w:val="right" w:leader="dot" w:pos="8307"/>
            </w:tabs>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0"/>
              <w:w w:val="100"/>
              <w:position w:val="0"/>
              <w:sz w:val="24"/>
              <w:szCs w:val="24"/>
              <w:highlight w:val="none"/>
            </w:rPr>
            <w:fldChar w:fldCharType="begin"/>
          </w:r>
          <w:r>
            <w:rPr>
              <w:rFonts w:hint="default" w:ascii="Times New Roman" w:hAnsi="Times New Roman" w:eastAsia="仿宋" w:cs="Times New Roman"/>
              <w:color w:val="auto"/>
              <w:spacing w:val="0"/>
              <w:w w:val="100"/>
              <w:position w:val="0"/>
              <w:sz w:val="24"/>
              <w:szCs w:val="24"/>
              <w:highlight w:val="none"/>
            </w:rPr>
            <w:instrText xml:space="preserve"> HYPERLINK \l _Toc14567 </w:instrText>
          </w:r>
          <w:r>
            <w:rPr>
              <w:rFonts w:hint="default" w:ascii="Times New Roman" w:hAnsi="Times New Roman" w:eastAsia="仿宋" w:cs="Times New Roman"/>
              <w:color w:val="auto"/>
              <w:spacing w:val="0"/>
              <w:w w:val="100"/>
              <w:position w:val="0"/>
              <w:sz w:val="24"/>
              <w:szCs w:val="24"/>
              <w:highlight w:val="none"/>
            </w:rPr>
            <w:fldChar w:fldCharType="separate"/>
          </w:r>
          <w:r>
            <w:rPr>
              <w:rFonts w:hint="default" w:ascii="Times New Roman" w:hAnsi="Times New Roman" w:eastAsia="仿宋" w:cs="Times New Roman"/>
              <w:bCs/>
              <w:color w:val="auto"/>
              <w:spacing w:val="0"/>
              <w:w w:val="100"/>
              <w:position w:val="0"/>
              <w:sz w:val="24"/>
              <w:szCs w:val="24"/>
              <w:highlight w:val="none"/>
            </w:rPr>
            <w:t>4.2检查维护制度</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_Toc14567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11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pacing w:val="0"/>
              <w:w w:val="100"/>
              <w:position w:val="0"/>
              <w:sz w:val="24"/>
              <w:szCs w:val="24"/>
              <w:highlight w:val="none"/>
            </w:rPr>
            <w:fldChar w:fldCharType="end"/>
          </w:r>
        </w:p>
        <w:p w14:paraId="68B8976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ascii="仿宋" w:hAnsi="仿宋" w:eastAsia="仿宋" w:cs="仿宋"/>
              <w:snapToGrid w:val="0"/>
              <w:color w:val="auto"/>
              <w:spacing w:val="0"/>
              <w:w w:val="100"/>
              <w:kern w:val="0"/>
              <w:position w:val="0"/>
              <w:sz w:val="21"/>
              <w:szCs w:val="30"/>
              <w:highlight w:val="none"/>
              <w:lang w:val="en-US" w:eastAsia="en-US" w:bidi="ar-SA"/>
            </w:rPr>
          </w:pPr>
          <w:r>
            <w:rPr>
              <w:rFonts w:hint="eastAsia" w:ascii="仿宋" w:hAnsi="仿宋" w:eastAsia="仿宋" w:cs="仿宋"/>
              <w:color w:val="auto"/>
              <w:spacing w:val="0"/>
              <w:w w:val="100"/>
              <w:position w:val="0"/>
              <w:sz w:val="24"/>
              <w:szCs w:val="24"/>
              <w:highlight w:val="none"/>
            </w:rPr>
            <w:fldChar w:fldCharType="end"/>
          </w:r>
        </w:p>
      </w:sdtContent>
    </w:sdt>
    <w:p w14:paraId="0CEB69D2">
      <w:pPr>
        <w:keepNext w:val="0"/>
        <w:keepLines w:val="0"/>
        <w:pageBreakBefore w:val="0"/>
        <w:widowControl/>
        <w:kinsoku/>
        <w:wordWrap/>
        <w:overflowPunct/>
        <w:topLinePunct w:val="0"/>
        <w:autoSpaceDE w:val="0"/>
        <w:autoSpaceDN w:val="0"/>
        <w:bidi w:val="0"/>
        <w:adjustRightInd w:val="0"/>
        <w:snapToGrid w:val="0"/>
        <w:spacing w:line="217" w:lineRule="auto"/>
        <w:rPr>
          <w:rFonts w:ascii="仿宋" w:hAnsi="仿宋" w:eastAsia="仿宋" w:cs="仿宋"/>
          <w:snapToGrid w:val="0"/>
          <w:color w:val="auto"/>
          <w:spacing w:val="0"/>
          <w:w w:val="100"/>
          <w:kern w:val="0"/>
          <w:position w:val="0"/>
          <w:sz w:val="21"/>
          <w:szCs w:val="30"/>
          <w:highlight w:val="none"/>
          <w:lang w:val="en-US" w:eastAsia="en-US" w:bidi="ar-SA"/>
        </w:rPr>
        <w:sectPr>
          <w:pgSz w:w="11907" w:h="16841"/>
          <w:pgMar w:top="1440" w:right="1800" w:bottom="1440" w:left="1800" w:header="0" w:footer="0" w:gutter="0"/>
          <w:pgNumType w:fmt="decimal"/>
          <w:cols w:space="720" w:num="1"/>
        </w:sectPr>
      </w:pPr>
    </w:p>
    <w:p w14:paraId="2AA11345">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0"/>
        <w:rPr>
          <w:rFonts w:ascii="宋体" w:hAnsi="宋体" w:eastAsia="宋体" w:cs="宋体"/>
          <w:color w:val="auto"/>
          <w:spacing w:val="0"/>
          <w:w w:val="100"/>
          <w:position w:val="0"/>
          <w:sz w:val="31"/>
          <w:szCs w:val="31"/>
          <w:highlight w:val="none"/>
        </w:rPr>
      </w:pPr>
      <w:bookmarkStart w:id="632" w:name="_Toc19767"/>
      <w:bookmarkStart w:id="633" w:name="_Toc31384"/>
      <w:bookmarkStart w:id="634" w:name="_Toc23725"/>
      <w:bookmarkStart w:id="635" w:name="_Toc23316"/>
      <w:bookmarkStart w:id="636" w:name="_Toc22517"/>
      <w:bookmarkStart w:id="637" w:name="_Toc11827"/>
      <w:bookmarkStart w:id="638" w:name="_Toc14062"/>
      <w:r>
        <w:rPr>
          <w:rFonts w:ascii="Times New Roman" w:hAnsi="Times New Roman" w:eastAsia="Times New Roman" w:cs="Times New Roman"/>
          <w:b/>
          <w:bCs/>
          <w:color w:val="auto"/>
          <w:spacing w:val="0"/>
          <w:w w:val="100"/>
          <w:position w:val="0"/>
          <w:sz w:val="31"/>
          <w:szCs w:val="31"/>
          <w:highlight w:val="none"/>
        </w:rPr>
        <w:t>1</w:t>
      </w:r>
      <w:r>
        <w:rPr>
          <w:rFonts w:ascii="宋体" w:hAnsi="宋体" w:eastAsia="宋体" w:cs="宋体"/>
          <w:b/>
          <w:bCs/>
          <w:color w:val="auto"/>
          <w:spacing w:val="0"/>
          <w:w w:val="100"/>
          <w:position w:val="0"/>
          <w:sz w:val="31"/>
          <w:szCs w:val="31"/>
          <w:highlight w:val="none"/>
        </w:rPr>
        <w:t>前言</w:t>
      </w:r>
      <w:bookmarkEnd w:id="632"/>
      <w:bookmarkEnd w:id="633"/>
      <w:bookmarkEnd w:id="634"/>
      <w:bookmarkEnd w:id="635"/>
      <w:bookmarkEnd w:id="636"/>
      <w:bookmarkEnd w:id="637"/>
      <w:bookmarkEnd w:id="638"/>
    </w:p>
    <w:p w14:paraId="0C21583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西山水库位于伊春市伊春河干流上，坝址地理坐标为东经128°27′～128°41′，北纬47°36′～47°51′。水库由挡石河、翠峦河、</w:t>
      </w:r>
      <w:r>
        <w:rPr>
          <w:rFonts w:hint="eastAsia" w:ascii="仿宋" w:hAnsi="仿宋" w:eastAsia="仿宋" w:cs="仿宋"/>
          <w:color w:val="auto"/>
          <w:spacing w:val="0"/>
          <w:w w:val="100"/>
          <w:position w:val="0"/>
          <w:sz w:val="28"/>
          <w:szCs w:val="28"/>
          <w:highlight w:val="none"/>
          <w:lang w:eastAsia="zh-CN"/>
        </w:rPr>
        <w:t>么河</w:t>
      </w:r>
      <w:r>
        <w:rPr>
          <w:rFonts w:ascii="仿宋" w:hAnsi="仿宋" w:eastAsia="仿宋" w:cs="仿宋"/>
          <w:color w:val="auto"/>
          <w:spacing w:val="0"/>
          <w:w w:val="100"/>
          <w:position w:val="0"/>
          <w:sz w:val="28"/>
          <w:szCs w:val="28"/>
          <w:highlight w:val="none"/>
        </w:rPr>
        <w:t>汇水而成。挡石河全长36公里，河深1米，河宽12～25米。发源于冲锋经营所北挡石山和友好区交界处分水岭南坡，和翠峦河汇合成伊春河，它有两条较大支流，即太平河和高岩河。翠峦河全长64公里，河深0.30～1米，宽19～30米。有两个源头，一个发源于开源河经营林场实验村北额头山西侧。另一个发源于该林场和绥棱林业局交界处丁字山东侧，此河有两大支流，即尖山河和扶育河。西山水库占地面积11.54平方公里，属于大型水库，控制流域面积1613平方公里，占全流域面积65.4%。</w:t>
      </w:r>
    </w:p>
    <w:p w14:paraId="1ACA29C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建立健全伊春市乌翠区集中式地表水饮用水水源地保护区的环境污染事故应急机制，提高乌翠区对饮用水源保护区突发环境污染事件的处置能力，维护社会稳定，保障公众生命健康和财产安全，保护水环境，促进社会全面、协调、可持续发展，根据《突发事件应急预案管理办法》</w:t>
      </w:r>
      <w:r>
        <w:rPr>
          <w:rFonts w:hint="eastAsia" w:ascii="仿宋" w:hAnsi="仿宋" w:eastAsia="仿宋" w:cs="仿宋"/>
          <w:color w:val="auto"/>
          <w:spacing w:val="0"/>
          <w:w w:val="100"/>
          <w:position w:val="0"/>
          <w:sz w:val="28"/>
          <w:szCs w:val="28"/>
          <w:highlight w:val="none"/>
          <w:lang w:eastAsia="zh-CN"/>
        </w:rPr>
        <w:t>（</w:t>
      </w:r>
      <w:r>
        <w:rPr>
          <w:rFonts w:ascii="仿宋" w:hAnsi="仿宋" w:eastAsia="仿宋" w:cs="仿宋"/>
          <w:color w:val="auto"/>
          <w:spacing w:val="0"/>
          <w:w w:val="100"/>
          <w:position w:val="0"/>
          <w:sz w:val="28"/>
          <w:szCs w:val="28"/>
          <w:highlight w:val="none"/>
        </w:rPr>
        <w:t>国办发</w:t>
      </w:r>
      <w:r>
        <w:rPr>
          <w:rFonts w:hint="eastAsia" w:ascii="仿宋" w:hAnsi="仿宋" w:eastAsia="仿宋" w:cs="仿宋"/>
          <w:color w:val="auto"/>
          <w:spacing w:val="0"/>
          <w:w w:val="100"/>
          <w:position w:val="0"/>
          <w:sz w:val="28"/>
          <w:szCs w:val="28"/>
          <w:highlight w:val="none"/>
          <w:lang w:eastAsia="zh-CN"/>
        </w:rPr>
        <w:t>〔2013〕101号）</w:t>
      </w:r>
      <w:r>
        <w:rPr>
          <w:rFonts w:ascii="仿宋" w:hAnsi="仿宋" w:eastAsia="仿宋" w:cs="仿宋"/>
          <w:color w:val="auto"/>
          <w:spacing w:val="0"/>
          <w:w w:val="100"/>
          <w:position w:val="0"/>
          <w:sz w:val="28"/>
          <w:szCs w:val="28"/>
          <w:highlight w:val="none"/>
        </w:rPr>
        <w:t>，应开展《伊春市乌翠区集中式地表水饮用水水源地突发环境事件专项应急预案》编制工作。</w:t>
      </w:r>
    </w:p>
    <w:p w14:paraId="5287955D">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0"/>
        <w:rPr>
          <w:rFonts w:ascii="宋体" w:hAnsi="宋体" w:eastAsia="宋体" w:cs="宋体"/>
          <w:color w:val="auto"/>
          <w:spacing w:val="0"/>
          <w:w w:val="100"/>
          <w:position w:val="0"/>
          <w:sz w:val="31"/>
          <w:szCs w:val="31"/>
          <w:highlight w:val="none"/>
        </w:rPr>
      </w:pPr>
      <w:bookmarkStart w:id="639" w:name="_Toc23096"/>
      <w:bookmarkStart w:id="640" w:name="_Toc29509"/>
      <w:bookmarkStart w:id="641" w:name="_Toc16259"/>
      <w:bookmarkStart w:id="642" w:name="_Toc31942"/>
      <w:bookmarkStart w:id="643" w:name="_Toc28270"/>
      <w:bookmarkStart w:id="644" w:name="_Toc14582"/>
      <w:bookmarkStart w:id="645" w:name="_Toc20403"/>
      <w:r>
        <w:rPr>
          <w:rFonts w:ascii="Times New Roman" w:hAnsi="Times New Roman" w:eastAsia="Times New Roman" w:cs="Times New Roman"/>
          <w:b/>
          <w:bCs/>
          <w:color w:val="auto"/>
          <w:spacing w:val="0"/>
          <w:w w:val="100"/>
          <w:position w:val="0"/>
          <w:sz w:val="31"/>
          <w:szCs w:val="31"/>
          <w:highlight w:val="none"/>
        </w:rPr>
        <w:t>2</w:t>
      </w:r>
      <w:r>
        <w:rPr>
          <w:rFonts w:ascii="宋体" w:hAnsi="宋体" w:eastAsia="宋体" w:cs="宋体"/>
          <w:b/>
          <w:bCs/>
          <w:color w:val="auto"/>
          <w:spacing w:val="0"/>
          <w:w w:val="100"/>
          <w:position w:val="0"/>
          <w:sz w:val="31"/>
          <w:szCs w:val="31"/>
          <w:highlight w:val="none"/>
        </w:rPr>
        <w:t>环境应急资源调查工作的目的</w:t>
      </w:r>
      <w:bookmarkEnd w:id="639"/>
      <w:bookmarkEnd w:id="640"/>
      <w:bookmarkEnd w:id="641"/>
      <w:bookmarkEnd w:id="642"/>
      <w:bookmarkEnd w:id="643"/>
      <w:bookmarkEnd w:id="644"/>
      <w:bookmarkEnd w:id="645"/>
    </w:p>
    <w:p w14:paraId="0219248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在任何生产活动中都有可能发生事故，尤其是本身为环境风险受体的水源地项目，一旦发生重大事故，往往造成惨重的生命、财产损失和环境破坏。由于自然或人为等原因，当事故或灾害不可能完全避免的时候，建立重大事故环境应急救援体系，组织及时有效的应急救援行动，已成为抵御事故风险或控制灾害蔓延、降低危害后果的关键甚至是唯一手段。</w:t>
      </w:r>
    </w:p>
    <w:p w14:paraId="535324C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了预防和减少突发环境事件的发生，控制、减轻和消除突发事件引起的严重社会危害，规范突发事件应对活动，保护人民生命财产安全，维护国家安全、公共安全、环境安全和社会秩序，国家颁布了《中华人民共和国突发事件应对法》，发布了《国家突发环境事件应急预案》，原国家环保总局组织编写了《环境应急响应实用手册》。</w:t>
      </w:r>
    </w:p>
    <w:p w14:paraId="31F37A6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在环境风险事故后能迅速、有序有效地开展应急处置行动，阻止和控制污染物向周边环境的无序排放，最大可能避免对公共环境造成的污染冲击，本项目制定了《伊春市乌翠区集中式地表水饮用水水源地突发环境事件专项应急预案》，并在此基础上制定了《伊春市乌翠区集中式地表水饮用水水源地突发环境事件风险评估报告》。为了全面掌握水源地的应急资源，迅速及时地利用项目内部及周边的应急物资，现制定《伊春市乌翠区集中式地表水饮用水水源地突发环境事件应急资源调查报告》。</w:t>
      </w:r>
    </w:p>
    <w:p w14:paraId="209884F5">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0"/>
        <w:rPr>
          <w:rFonts w:ascii="宋体" w:hAnsi="宋体" w:eastAsia="宋体" w:cs="宋体"/>
          <w:color w:val="auto"/>
          <w:spacing w:val="0"/>
          <w:w w:val="100"/>
          <w:position w:val="0"/>
          <w:sz w:val="31"/>
          <w:szCs w:val="31"/>
          <w:highlight w:val="none"/>
        </w:rPr>
      </w:pPr>
      <w:bookmarkStart w:id="646" w:name="_Toc438"/>
      <w:bookmarkStart w:id="647" w:name="_Toc21503"/>
      <w:bookmarkStart w:id="648" w:name="_Toc22118"/>
      <w:bookmarkStart w:id="649" w:name="_Toc26876"/>
      <w:bookmarkStart w:id="650" w:name="_Toc5366"/>
      <w:bookmarkStart w:id="651" w:name="_Toc26319"/>
      <w:bookmarkStart w:id="652" w:name="_Toc15466"/>
      <w:r>
        <w:rPr>
          <w:rFonts w:ascii="Times New Roman" w:hAnsi="Times New Roman" w:eastAsia="Times New Roman" w:cs="Times New Roman"/>
          <w:b/>
          <w:bCs/>
          <w:color w:val="auto"/>
          <w:spacing w:val="0"/>
          <w:w w:val="100"/>
          <w:position w:val="0"/>
          <w:sz w:val="31"/>
          <w:szCs w:val="31"/>
          <w:highlight w:val="none"/>
        </w:rPr>
        <w:t>3</w:t>
      </w:r>
      <w:r>
        <w:rPr>
          <w:rFonts w:ascii="宋体" w:hAnsi="宋体" w:eastAsia="宋体" w:cs="宋体"/>
          <w:b/>
          <w:bCs/>
          <w:color w:val="auto"/>
          <w:spacing w:val="0"/>
          <w:w w:val="100"/>
          <w:position w:val="0"/>
          <w:sz w:val="31"/>
          <w:szCs w:val="31"/>
          <w:highlight w:val="none"/>
        </w:rPr>
        <w:t>项目应急救援工作的开展情况</w:t>
      </w:r>
      <w:bookmarkEnd w:id="646"/>
      <w:bookmarkEnd w:id="647"/>
      <w:bookmarkEnd w:id="648"/>
      <w:bookmarkEnd w:id="649"/>
      <w:bookmarkEnd w:id="650"/>
      <w:bookmarkEnd w:id="651"/>
      <w:bookmarkEnd w:id="652"/>
    </w:p>
    <w:p w14:paraId="3B256C7E">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653" w:name="_Toc18911"/>
      <w:bookmarkStart w:id="654" w:name="_Toc1302"/>
      <w:bookmarkStart w:id="655" w:name="_Toc16797"/>
      <w:bookmarkStart w:id="656" w:name="_Toc24197"/>
      <w:bookmarkStart w:id="657" w:name="_Toc10150"/>
      <w:bookmarkStart w:id="658" w:name="_Toc15139"/>
      <w:bookmarkStart w:id="659" w:name="_Toc1533"/>
      <w:r>
        <w:rPr>
          <w:rFonts w:ascii="Times New Roman" w:hAnsi="Times New Roman" w:eastAsia="Times New Roman" w:cs="Times New Roman"/>
          <w:b/>
          <w:bCs/>
          <w:color w:val="auto"/>
          <w:spacing w:val="0"/>
          <w:w w:val="100"/>
          <w:position w:val="0"/>
          <w:sz w:val="28"/>
          <w:szCs w:val="28"/>
          <w:highlight w:val="none"/>
        </w:rPr>
        <w:t>3.1</w:t>
      </w:r>
      <w:r>
        <w:rPr>
          <w:rFonts w:ascii="仿宋" w:hAnsi="仿宋" w:eastAsia="仿宋" w:cs="仿宋"/>
          <w:b/>
          <w:bCs/>
          <w:color w:val="auto"/>
          <w:spacing w:val="0"/>
          <w:w w:val="100"/>
          <w:position w:val="0"/>
          <w:sz w:val="28"/>
          <w:szCs w:val="28"/>
          <w:highlight w:val="none"/>
        </w:rPr>
        <w:t>目前工作开展情况</w:t>
      </w:r>
      <w:bookmarkEnd w:id="653"/>
      <w:bookmarkEnd w:id="654"/>
      <w:bookmarkEnd w:id="655"/>
      <w:bookmarkEnd w:id="656"/>
      <w:bookmarkEnd w:id="657"/>
      <w:bookmarkEnd w:id="658"/>
      <w:bookmarkEnd w:id="659"/>
    </w:p>
    <w:p w14:paraId="26CB3E70">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华文仿宋" w:hAnsi="华文仿宋" w:eastAsia="华文仿宋" w:cs="华文仿宋"/>
          <w:color w:val="auto"/>
          <w:spacing w:val="0"/>
          <w:w w:val="100"/>
          <w:position w:val="0"/>
          <w:sz w:val="28"/>
          <w:szCs w:val="28"/>
          <w:highlight w:val="none"/>
        </w:rPr>
      </w:pPr>
      <w:r>
        <w:rPr>
          <w:rFonts w:ascii="Times New Roman" w:hAnsi="Times New Roman" w:eastAsia="Times New Roman" w:cs="Times New Roman"/>
          <w:b/>
          <w:bCs/>
          <w:color w:val="auto"/>
          <w:spacing w:val="0"/>
          <w:w w:val="100"/>
          <w:position w:val="0"/>
          <w:sz w:val="28"/>
          <w:szCs w:val="28"/>
          <w:highlight w:val="none"/>
        </w:rPr>
        <w:t>3.1.1</w:t>
      </w:r>
      <w:r>
        <w:rPr>
          <w:rFonts w:ascii="华文仿宋" w:hAnsi="华文仿宋" w:eastAsia="华文仿宋" w:cs="华文仿宋"/>
          <w:b/>
          <w:bCs/>
          <w:color w:val="auto"/>
          <w:spacing w:val="0"/>
          <w:w w:val="100"/>
          <w:position w:val="0"/>
          <w:sz w:val="28"/>
          <w:szCs w:val="28"/>
          <w:highlight w:val="none"/>
        </w:rPr>
        <w:t>认真编制切实可行的突发环境事件应急预案</w:t>
      </w:r>
    </w:p>
    <w:p w14:paraId="529222C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认真编制切实可行的突发环境事件应急预案，乌翠区生态环境局成立了应急预案编制小组，为乌翠区西山水库饮用水水源地安全生产应急救援工作提供了有力的技术支持和专业指导。</w:t>
      </w:r>
    </w:p>
    <w:p w14:paraId="17F5FE95">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华文仿宋" w:hAnsi="华文仿宋" w:eastAsia="华文仿宋" w:cs="华文仿宋"/>
          <w:color w:val="auto"/>
          <w:spacing w:val="0"/>
          <w:w w:val="100"/>
          <w:position w:val="0"/>
          <w:sz w:val="28"/>
          <w:szCs w:val="28"/>
          <w:highlight w:val="none"/>
        </w:rPr>
      </w:pPr>
      <w:r>
        <w:rPr>
          <w:rFonts w:ascii="Times New Roman" w:hAnsi="Times New Roman" w:eastAsia="Times New Roman" w:cs="Times New Roman"/>
          <w:b/>
          <w:bCs/>
          <w:color w:val="auto"/>
          <w:spacing w:val="0"/>
          <w:w w:val="100"/>
          <w:position w:val="0"/>
          <w:sz w:val="28"/>
          <w:szCs w:val="28"/>
          <w:highlight w:val="none"/>
        </w:rPr>
        <w:t>3.1.2</w:t>
      </w:r>
      <w:r>
        <w:rPr>
          <w:rFonts w:ascii="华文仿宋" w:hAnsi="华文仿宋" w:eastAsia="华文仿宋" w:cs="华文仿宋"/>
          <w:b/>
          <w:bCs/>
          <w:color w:val="auto"/>
          <w:spacing w:val="0"/>
          <w:w w:val="100"/>
          <w:position w:val="0"/>
          <w:sz w:val="28"/>
          <w:szCs w:val="28"/>
          <w:highlight w:val="none"/>
        </w:rPr>
        <w:t>注意在资金上投入</w:t>
      </w:r>
    </w:p>
    <w:p w14:paraId="0E0DA30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乌翠区西山水库饮用水水源地注意在资金上投入，并购买了救援器材和宣传材料。</w:t>
      </w:r>
    </w:p>
    <w:p w14:paraId="7A6EC347">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华文仿宋" w:hAnsi="华文仿宋" w:eastAsia="华文仿宋" w:cs="华文仿宋"/>
          <w:color w:val="auto"/>
          <w:spacing w:val="0"/>
          <w:w w:val="100"/>
          <w:position w:val="0"/>
          <w:sz w:val="28"/>
          <w:szCs w:val="28"/>
          <w:highlight w:val="none"/>
        </w:rPr>
      </w:pPr>
      <w:r>
        <w:rPr>
          <w:rFonts w:ascii="Times New Roman" w:hAnsi="Times New Roman" w:eastAsia="Times New Roman" w:cs="Times New Roman"/>
          <w:b/>
          <w:bCs/>
          <w:color w:val="auto"/>
          <w:spacing w:val="0"/>
          <w:w w:val="100"/>
          <w:position w:val="0"/>
          <w:sz w:val="28"/>
          <w:szCs w:val="28"/>
          <w:highlight w:val="none"/>
        </w:rPr>
        <w:t>3.1.3</w:t>
      </w:r>
      <w:r>
        <w:rPr>
          <w:rFonts w:ascii="华文仿宋" w:hAnsi="华文仿宋" w:eastAsia="华文仿宋" w:cs="华文仿宋"/>
          <w:b/>
          <w:bCs/>
          <w:color w:val="auto"/>
          <w:spacing w:val="0"/>
          <w:w w:val="100"/>
          <w:position w:val="0"/>
          <w:sz w:val="28"/>
          <w:szCs w:val="28"/>
          <w:highlight w:val="none"/>
        </w:rPr>
        <w:t>强化应急救援演练</w:t>
      </w:r>
    </w:p>
    <w:p w14:paraId="02AE4AC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了提高对突发事件的处置能力，应经常性组织演练活动，处置环境风险事件。在项目区进行应急事故演练，进行应急救援知识培训《如何组织应急救援和救援知识》，每次演练及培训各相关部门全部参加，检验预案，锻炼队伍，有效</w:t>
      </w:r>
      <w:r>
        <w:rPr>
          <w:rFonts w:hint="eastAsia" w:ascii="仿宋" w:hAnsi="仿宋" w:eastAsia="仿宋" w:cs="仿宋"/>
          <w:color w:val="auto"/>
          <w:spacing w:val="0"/>
          <w:w w:val="100"/>
          <w:position w:val="0"/>
          <w:sz w:val="28"/>
          <w:szCs w:val="28"/>
          <w:highlight w:val="none"/>
          <w:lang w:eastAsia="zh-CN"/>
        </w:rPr>
        <w:t>地</w:t>
      </w:r>
      <w:r>
        <w:rPr>
          <w:rFonts w:ascii="仿宋" w:hAnsi="仿宋" w:eastAsia="仿宋" w:cs="仿宋"/>
          <w:color w:val="auto"/>
          <w:spacing w:val="0"/>
          <w:w w:val="100"/>
          <w:position w:val="0"/>
          <w:sz w:val="28"/>
          <w:szCs w:val="28"/>
          <w:highlight w:val="none"/>
        </w:rPr>
        <w:t>提升了各级应急处置能力。</w:t>
      </w:r>
    </w:p>
    <w:p w14:paraId="69E15ED3">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华文仿宋" w:hAnsi="华文仿宋" w:eastAsia="华文仿宋" w:cs="华文仿宋"/>
          <w:color w:val="auto"/>
          <w:spacing w:val="0"/>
          <w:w w:val="100"/>
          <w:position w:val="0"/>
          <w:sz w:val="28"/>
          <w:szCs w:val="28"/>
          <w:highlight w:val="none"/>
        </w:rPr>
      </w:pPr>
      <w:r>
        <w:rPr>
          <w:rFonts w:ascii="Times New Roman" w:hAnsi="Times New Roman" w:eastAsia="Times New Roman" w:cs="Times New Roman"/>
          <w:b/>
          <w:bCs/>
          <w:color w:val="auto"/>
          <w:spacing w:val="0"/>
          <w:w w:val="100"/>
          <w:position w:val="0"/>
          <w:sz w:val="28"/>
          <w:szCs w:val="28"/>
          <w:highlight w:val="none"/>
        </w:rPr>
        <w:t>3.1.4</w:t>
      </w:r>
      <w:r>
        <w:rPr>
          <w:rFonts w:ascii="华文仿宋" w:hAnsi="华文仿宋" w:eastAsia="华文仿宋" w:cs="华文仿宋"/>
          <w:b/>
          <w:bCs/>
          <w:color w:val="auto"/>
          <w:spacing w:val="0"/>
          <w:w w:val="100"/>
          <w:position w:val="0"/>
          <w:sz w:val="28"/>
          <w:szCs w:val="28"/>
          <w:highlight w:val="none"/>
        </w:rPr>
        <w:t>深入开展应急知识培训</w:t>
      </w:r>
    </w:p>
    <w:p w14:paraId="709C090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为切实</w:t>
      </w:r>
      <w:r>
        <w:rPr>
          <w:rFonts w:hint="eastAsia" w:ascii="仿宋" w:hAnsi="仿宋" w:eastAsia="仿宋" w:cs="仿宋"/>
          <w:color w:val="auto"/>
          <w:spacing w:val="0"/>
          <w:w w:val="100"/>
          <w:position w:val="0"/>
          <w:sz w:val="28"/>
          <w:szCs w:val="28"/>
          <w:highlight w:val="none"/>
          <w:lang w:eastAsia="zh-CN"/>
        </w:rPr>
        <w:t>增强</w:t>
      </w:r>
      <w:r>
        <w:rPr>
          <w:rFonts w:ascii="仿宋" w:hAnsi="仿宋" w:eastAsia="仿宋" w:cs="仿宋"/>
          <w:color w:val="auto"/>
          <w:spacing w:val="0"/>
          <w:w w:val="100"/>
          <w:position w:val="0"/>
          <w:sz w:val="28"/>
          <w:szCs w:val="28"/>
          <w:highlight w:val="none"/>
        </w:rPr>
        <w:t>参加部门的应急意识和应急能力，</w:t>
      </w:r>
      <w:r>
        <w:rPr>
          <w:rFonts w:hint="eastAsia" w:ascii="仿宋" w:hAnsi="仿宋" w:eastAsia="仿宋" w:cs="仿宋"/>
          <w:color w:val="auto"/>
          <w:spacing w:val="0"/>
          <w:w w:val="100"/>
          <w:position w:val="0"/>
          <w:sz w:val="28"/>
          <w:szCs w:val="28"/>
          <w:highlight w:val="none"/>
          <w:lang w:eastAsia="zh-CN"/>
        </w:rPr>
        <w:t>加强</w:t>
      </w:r>
      <w:r>
        <w:rPr>
          <w:rFonts w:ascii="仿宋" w:hAnsi="仿宋" w:eastAsia="仿宋" w:cs="仿宋"/>
          <w:color w:val="auto"/>
          <w:spacing w:val="0"/>
          <w:w w:val="100"/>
          <w:position w:val="0"/>
          <w:sz w:val="28"/>
          <w:szCs w:val="28"/>
          <w:highlight w:val="none"/>
        </w:rPr>
        <w:t>安全生产科普知识宣传。规定每年都要以宣传单、板报</w:t>
      </w:r>
      <w:r>
        <w:rPr>
          <w:rFonts w:hint="eastAsia" w:ascii="仿宋" w:hAnsi="仿宋" w:eastAsia="仿宋" w:cs="仿宋"/>
          <w:color w:val="auto"/>
          <w:spacing w:val="0"/>
          <w:w w:val="100"/>
          <w:position w:val="0"/>
          <w:sz w:val="28"/>
          <w:szCs w:val="28"/>
          <w:highlight w:val="none"/>
          <w:lang w:eastAsia="zh-CN"/>
        </w:rPr>
        <w:t>等</w:t>
      </w:r>
      <w:r>
        <w:rPr>
          <w:rFonts w:ascii="仿宋" w:hAnsi="仿宋" w:eastAsia="仿宋" w:cs="仿宋"/>
          <w:color w:val="auto"/>
          <w:spacing w:val="0"/>
          <w:w w:val="100"/>
          <w:position w:val="0"/>
          <w:sz w:val="28"/>
          <w:szCs w:val="28"/>
          <w:highlight w:val="none"/>
        </w:rPr>
        <w:t>形式面向各部门宣传普及应急、预防、避险、自救、互救、减灾等知识，努力提高各部门应对各种突发事件的综合素质，为应急管理工作顺利开展营造良好的氛围。</w:t>
      </w:r>
    </w:p>
    <w:p w14:paraId="5741A321">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660" w:name="_Toc22555"/>
      <w:bookmarkStart w:id="661" w:name="_Toc28831"/>
      <w:bookmarkStart w:id="662" w:name="_Toc21242"/>
      <w:bookmarkStart w:id="663" w:name="_Toc7507"/>
      <w:bookmarkStart w:id="664" w:name="_Toc25001"/>
      <w:bookmarkStart w:id="665" w:name="_Toc13264"/>
      <w:bookmarkStart w:id="666" w:name="_Toc10473"/>
      <w:r>
        <w:rPr>
          <w:rFonts w:ascii="Times New Roman" w:hAnsi="Times New Roman" w:eastAsia="Times New Roman" w:cs="Times New Roman"/>
          <w:b/>
          <w:bCs/>
          <w:color w:val="auto"/>
          <w:spacing w:val="0"/>
          <w:w w:val="100"/>
          <w:position w:val="0"/>
          <w:sz w:val="28"/>
          <w:szCs w:val="28"/>
          <w:highlight w:val="none"/>
        </w:rPr>
        <w:t>3.2</w:t>
      </w:r>
      <w:r>
        <w:rPr>
          <w:rFonts w:ascii="仿宋" w:hAnsi="仿宋" w:eastAsia="仿宋" w:cs="仿宋"/>
          <w:b/>
          <w:bCs/>
          <w:color w:val="auto"/>
          <w:spacing w:val="0"/>
          <w:w w:val="100"/>
          <w:position w:val="0"/>
          <w:sz w:val="28"/>
          <w:szCs w:val="28"/>
          <w:highlight w:val="none"/>
        </w:rPr>
        <w:t>应急物资</w:t>
      </w:r>
      <w:bookmarkEnd w:id="660"/>
      <w:bookmarkEnd w:id="661"/>
      <w:bookmarkEnd w:id="662"/>
      <w:bookmarkEnd w:id="663"/>
      <w:bookmarkEnd w:id="664"/>
      <w:bookmarkEnd w:id="665"/>
      <w:bookmarkEnd w:id="666"/>
    </w:p>
    <w:p w14:paraId="1FB180D8">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华文仿宋" w:hAnsi="华文仿宋" w:eastAsia="华文仿宋" w:cs="华文仿宋"/>
          <w:color w:val="auto"/>
          <w:spacing w:val="0"/>
          <w:w w:val="100"/>
          <w:position w:val="0"/>
          <w:sz w:val="28"/>
          <w:szCs w:val="28"/>
          <w:highlight w:val="none"/>
        </w:rPr>
      </w:pPr>
      <w:r>
        <w:rPr>
          <w:rFonts w:ascii="Times New Roman" w:hAnsi="Times New Roman" w:eastAsia="Times New Roman" w:cs="Times New Roman"/>
          <w:b/>
          <w:bCs/>
          <w:color w:val="auto"/>
          <w:spacing w:val="0"/>
          <w:w w:val="100"/>
          <w:position w:val="0"/>
          <w:sz w:val="28"/>
          <w:szCs w:val="28"/>
          <w:highlight w:val="none"/>
        </w:rPr>
        <w:t>3.2.1</w:t>
      </w:r>
      <w:r>
        <w:rPr>
          <w:rFonts w:ascii="华文仿宋" w:hAnsi="华文仿宋" w:eastAsia="华文仿宋" w:cs="华文仿宋"/>
          <w:b/>
          <w:bCs/>
          <w:color w:val="auto"/>
          <w:spacing w:val="0"/>
          <w:w w:val="100"/>
          <w:position w:val="0"/>
          <w:sz w:val="28"/>
          <w:szCs w:val="28"/>
          <w:highlight w:val="none"/>
        </w:rPr>
        <w:t>应急物资和装备</w:t>
      </w:r>
    </w:p>
    <w:p w14:paraId="695281F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项目现有的应急物资统计如下：</w:t>
      </w:r>
    </w:p>
    <w:p w14:paraId="0F3A1B3D">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color w:val="auto"/>
          <w:spacing w:val="0"/>
          <w:w w:val="100"/>
          <w:position w:val="0"/>
          <w:highlight w:val="none"/>
        </w:rPr>
      </w:pPr>
      <w:r>
        <w:rPr>
          <w:rFonts w:ascii="仿宋" w:hAnsi="仿宋" w:eastAsia="仿宋" w:cs="仿宋"/>
          <w:b/>
          <w:bCs/>
          <w:color w:val="auto"/>
          <w:spacing w:val="0"/>
          <w:w w:val="100"/>
          <w:position w:val="0"/>
          <w:sz w:val="28"/>
          <w:szCs w:val="28"/>
          <w:highlight w:val="none"/>
        </w:rPr>
        <w:t>表3.2-1西山水库饮用水水源地应急物资和装备一览表</w:t>
      </w:r>
    </w:p>
    <w:tbl>
      <w:tblPr>
        <w:tblStyle w:val="13"/>
        <w:tblW w:w="856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0"/>
        <w:gridCol w:w="4414"/>
        <w:gridCol w:w="2522"/>
      </w:tblGrid>
      <w:tr w14:paraId="52F1C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630" w:type="dxa"/>
            <w:tcBorders>
              <w:top w:val="single" w:color="000000" w:sz="10" w:space="0"/>
              <w:left w:val="nil"/>
            </w:tcBorders>
            <w:vAlign w:val="center"/>
          </w:tcPr>
          <w:p w14:paraId="251FD93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序号</w:t>
            </w:r>
          </w:p>
        </w:tc>
        <w:tc>
          <w:tcPr>
            <w:tcW w:w="4414" w:type="dxa"/>
            <w:tcBorders>
              <w:top w:val="single" w:color="000000" w:sz="10" w:space="0"/>
            </w:tcBorders>
            <w:vAlign w:val="center"/>
          </w:tcPr>
          <w:p w14:paraId="24DE982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应急设施、器材名称</w:t>
            </w:r>
          </w:p>
        </w:tc>
        <w:tc>
          <w:tcPr>
            <w:tcW w:w="2522" w:type="dxa"/>
            <w:tcBorders>
              <w:top w:val="single" w:color="000000" w:sz="10" w:space="0"/>
              <w:right w:val="nil"/>
            </w:tcBorders>
            <w:vAlign w:val="center"/>
          </w:tcPr>
          <w:p w14:paraId="24ABDAD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数量</w:t>
            </w:r>
          </w:p>
        </w:tc>
      </w:tr>
      <w:tr w14:paraId="4236B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vAlign w:val="center"/>
          </w:tcPr>
          <w:p w14:paraId="65DB0B2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1</w:t>
            </w:r>
          </w:p>
        </w:tc>
        <w:tc>
          <w:tcPr>
            <w:tcW w:w="4414" w:type="dxa"/>
            <w:vAlign w:val="center"/>
          </w:tcPr>
          <w:p w14:paraId="59F89CC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摄像头</w:t>
            </w:r>
          </w:p>
        </w:tc>
        <w:tc>
          <w:tcPr>
            <w:tcW w:w="2522" w:type="dxa"/>
            <w:tcBorders>
              <w:right w:val="nil"/>
            </w:tcBorders>
            <w:vAlign w:val="center"/>
          </w:tcPr>
          <w:p w14:paraId="33E72CF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2</w:t>
            </w:r>
          </w:p>
        </w:tc>
      </w:tr>
      <w:tr w14:paraId="164AE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vAlign w:val="center"/>
          </w:tcPr>
          <w:p w14:paraId="0C5D1DC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2</w:t>
            </w:r>
          </w:p>
        </w:tc>
        <w:tc>
          <w:tcPr>
            <w:tcW w:w="4414" w:type="dxa"/>
            <w:vAlign w:val="center"/>
          </w:tcPr>
          <w:p w14:paraId="0FD2236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医疗箱</w:t>
            </w:r>
          </w:p>
        </w:tc>
        <w:tc>
          <w:tcPr>
            <w:tcW w:w="2522" w:type="dxa"/>
            <w:tcBorders>
              <w:right w:val="nil"/>
            </w:tcBorders>
            <w:vAlign w:val="center"/>
          </w:tcPr>
          <w:p w14:paraId="71DDBE9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2</w:t>
            </w:r>
          </w:p>
        </w:tc>
      </w:tr>
      <w:tr w14:paraId="4B2C4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vAlign w:val="center"/>
          </w:tcPr>
          <w:p w14:paraId="0FC8B02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3</w:t>
            </w:r>
          </w:p>
        </w:tc>
        <w:tc>
          <w:tcPr>
            <w:tcW w:w="4414" w:type="dxa"/>
            <w:vAlign w:val="center"/>
          </w:tcPr>
          <w:p w14:paraId="59EDF1F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铁锹</w:t>
            </w:r>
          </w:p>
        </w:tc>
        <w:tc>
          <w:tcPr>
            <w:tcW w:w="2522" w:type="dxa"/>
            <w:tcBorders>
              <w:right w:val="nil"/>
            </w:tcBorders>
            <w:vAlign w:val="center"/>
          </w:tcPr>
          <w:p w14:paraId="77F6717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100</w:t>
            </w:r>
          </w:p>
        </w:tc>
      </w:tr>
      <w:tr w14:paraId="25CCB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1630" w:type="dxa"/>
            <w:tcBorders>
              <w:left w:val="nil"/>
            </w:tcBorders>
            <w:vAlign w:val="center"/>
          </w:tcPr>
          <w:p w14:paraId="2F7D0AC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4</w:t>
            </w:r>
          </w:p>
        </w:tc>
        <w:tc>
          <w:tcPr>
            <w:tcW w:w="4414" w:type="dxa"/>
            <w:vAlign w:val="center"/>
          </w:tcPr>
          <w:p w14:paraId="031A181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灭火器</w:t>
            </w:r>
          </w:p>
        </w:tc>
        <w:tc>
          <w:tcPr>
            <w:tcW w:w="2522" w:type="dxa"/>
            <w:tcBorders>
              <w:right w:val="nil"/>
            </w:tcBorders>
            <w:vAlign w:val="center"/>
          </w:tcPr>
          <w:p w14:paraId="58EB835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10</w:t>
            </w:r>
          </w:p>
        </w:tc>
      </w:tr>
      <w:tr w14:paraId="443C4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vAlign w:val="center"/>
          </w:tcPr>
          <w:p w14:paraId="1BE18EA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eastAsia="zh-CN"/>
              </w:rPr>
            </w:pPr>
            <w:r>
              <w:rPr>
                <w:rFonts w:hint="eastAsia" w:ascii="仿宋" w:hAnsi="仿宋" w:eastAsia="仿宋" w:cs="仿宋"/>
                <w:color w:val="auto"/>
                <w:spacing w:val="0"/>
                <w:w w:val="100"/>
                <w:position w:val="0"/>
                <w:sz w:val="24"/>
                <w:szCs w:val="24"/>
                <w:highlight w:val="none"/>
                <w:lang w:val="en-US" w:eastAsia="zh-CN"/>
              </w:rPr>
              <w:t>5</w:t>
            </w:r>
          </w:p>
        </w:tc>
        <w:tc>
          <w:tcPr>
            <w:tcW w:w="4414" w:type="dxa"/>
            <w:vAlign w:val="center"/>
          </w:tcPr>
          <w:p w14:paraId="76D9645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对讲机</w:t>
            </w:r>
          </w:p>
        </w:tc>
        <w:tc>
          <w:tcPr>
            <w:tcW w:w="2522" w:type="dxa"/>
            <w:tcBorders>
              <w:right w:val="nil"/>
            </w:tcBorders>
            <w:vAlign w:val="center"/>
          </w:tcPr>
          <w:p w14:paraId="00F08C8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5</w:t>
            </w:r>
          </w:p>
        </w:tc>
      </w:tr>
      <w:tr w14:paraId="7AE65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vAlign w:val="center"/>
          </w:tcPr>
          <w:p w14:paraId="3440E92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val="en-US" w:eastAsia="zh-CN"/>
              </w:rPr>
            </w:pPr>
            <w:r>
              <w:rPr>
                <w:rFonts w:hint="eastAsia" w:ascii="仿宋" w:hAnsi="仿宋" w:eastAsia="仿宋" w:cs="仿宋"/>
                <w:color w:val="auto"/>
                <w:spacing w:val="0"/>
                <w:w w:val="100"/>
                <w:position w:val="0"/>
                <w:sz w:val="24"/>
                <w:szCs w:val="24"/>
                <w:highlight w:val="none"/>
                <w:lang w:val="en-US" w:eastAsia="zh-CN"/>
              </w:rPr>
              <w:t>6</w:t>
            </w:r>
          </w:p>
        </w:tc>
        <w:tc>
          <w:tcPr>
            <w:tcW w:w="4414" w:type="dxa"/>
            <w:vAlign w:val="center"/>
          </w:tcPr>
          <w:p w14:paraId="26CF462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抽水泵</w:t>
            </w:r>
          </w:p>
        </w:tc>
        <w:tc>
          <w:tcPr>
            <w:tcW w:w="2522" w:type="dxa"/>
            <w:tcBorders>
              <w:right w:val="nil"/>
            </w:tcBorders>
            <w:vAlign w:val="center"/>
          </w:tcPr>
          <w:p w14:paraId="131C88D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10</w:t>
            </w:r>
          </w:p>
        </w:tc>
      </w:tr>
      <w:tr w14:paraId="33F18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vAlign w:val="center"/>
          </w:tcPr>
          <w:p w14:paraId="0F9EFB2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lang w:val="en-US" w:eastAsia="zh-CN"/>
              </w:rPr>
            </w:pPr>
            <w:r>
              <w:rPr>
                <w:rFonts w:hint="eastAsia" w:ascii="仿宋" w:hAnsi="仿宋" w:eastAsia="仿宋" w:cs="仿宋"/>
                <w:color w:val="auto"/>
                <w:spacing w:val="0"/>
                <w:w w:val="100"/>
                <w:position w:val="0"/>
                <w:sz w:val="24"/>
                <w:szCs w:val="24"/>
                <w:highlight w:val="none"/>
                <w:lang w:val="en-US" w:eastAsia="zh-CN"/>
              </w:rPr>
              <w:t>7</w:t>
            </w:r>
          </w:p>
        </w:tc>
        <w:tc>
          <w:tcPr>
            <w:tcW w:w="4414" w:type="dxa"/>
            <w:shd w:val="clear" w:color="auto" w:fill="auto"/>
            <w:vAlign w:val="center"/>
          </w:tcPr>
          <w:p w14:paraId="082D93B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eastAsia" w:ascii="仿宋" w:hAnsi="仿宋" w:eastAsia="仿宋" w:cs="仿宋"/>
                <w:snapToGrid w:val="0"/>
                <w:color w:val="auto"/>
                <w:spacing w:val="0"/>
                <w:w w:val="100"/>
                <w:kern w:val="0"/>
                <w:position w:val="0"/>
                <w:sz w:val="24"/>
                <w:szCs w:val="24"/>
                <w:highlight w:val="none"/>
                <w:lang w:val="en-US" w:eastAsia="en-US" w:bidi="ar-SA"/>
              </w:rPr>
            </w:pPr>
            <w:r>
              <w:rPr>
                <w:rFonts w:hint="eastAsia" w:ascii="仿宋" w:hAnsi="仿宋" w:eastAsia="仿宋" w:cs="仿宋"/>
                <w:color w:val="auto"/>
                <w:spacing w:val="0"/>
                <w:w w:val="100"/>
                <w:position w:val="0"/>
                <w:sz w:val="24"/>
                <w:szCs w:val="24"/>
                <w:highlight w:val="none"/>
              </w:rPr>
              <w:t>电焊机</w:t>
            </w:r>
          </w:p>
        </w:tc>
        <w:tc>
          <w:tcPr>
            <w:tcW w:w="2522" w:type="dxa"/>
            <w:tcBorders>
              <w:right w:val="nil"/>
            </w:tcBorders>
            <w:shd w:val="clear" w:color="auto" w:fill="auto"/>
            <w:vAlign w:val="center"/>
          </w:tcPr>
          <w:p w14:paraId="45710C2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snapToGrid w:val="0"/>
                <w:color w:val="auto"/>
                <w:spacing w:val="0"/>
                <w:w w:val="100"/>
                <w:kern w:val="0"/>
                <w:position w:val="0"/>
                <w:sz w:val="24"/>
                <w:szCs w:val="24"/>
                <w:highlight w:val="none"/>
                <w:lang w:val="en-US" w:eastAsia="en-US" w:bidi="ar-SA"/>
              </w:rPr>
            </w:pPr>
            <w:r>
              <w:rPr>
                <w:rFonts w:hint="eastAsia" w:ascii="仿宋" w:hAnsi="仿宋" w:eastAsia="仿宋" w:cs="仿宋"/>
                <w:color w:val="auto"/>
                <w:spacing w:val="0"/>
                <w:w w:val="100"/>
                <w:position w:val="0"/>
                <w:sz w:val="24"/>
                <w:szCs w:val="24"/>
                <w:highlight w:val="none"/>
              </w:rPr>
              <w:t>协议形式租赁</w:t>
            </w:r>
          </w:p>
        </w:tc>
      </w:tr>
      <w:tr w14:paraId="5AF6E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shd w:val="clear" w:color="auto" w:fill="auto"/>
            <w:vAlign w:val="center"/>
          </w:tcPr>
          <w:p w14:paraId="746C576B">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eastAsia" w:ascii="仿宋" w:hAnsi="仿宋" w:eastAsia="仿宋" w:cs="仿宋"/>
                <w:color w:val="auto"/>
                <w:spacing w:val="0"/>
                <w:w w:val="100"/>
                <w:kern w:val="2"/>
                <w:position w:val="0"/>
                <w:sz w:val="24"/>
                <w:szCs w:val="24"/>
                <w:highlight w:val="none"/>
                <w:lang w:val="en-US" w:eastAsia="zh-CN" w:bidi="ar-SA"/>
              </w:rPr>
            </w:pPr>
            <w:r>
              <w:rPr>
                <w:rFonts w:hint="eastAsia" w:ascii="仿宋" w:hAnsi="仿宋" w:eastAsia="仿宋" w:cs="仿宋"/>
                <w:color w:val="auto"/>
                <w:spacing w:val="0"/>
                <w:w w:val="100"/>
                <w:position w:val="0"/>
                <w:sz w:val="24"/>
                <w:szCs w:val="24"/>
                <w:highlight w:val="none"/>
              </w:rPr>
              <w:t>8</w:t>
            </w:r>
          </w:p>
        </w:tc>
        <w:tc>
          <w:tcPr>
            <w:tcW w:w="4414" w:type="dxa"/>
            <w:vAlign w:val="center"/>
          </w:tcPr>
          <w:p w14:paraId="12371CC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钻台</w:t>
            </w:r>
          </w:p>
        </w:tc>
        <w:tc>
          <w:tcPr>
            <w:tcW w:w="2522" w:type="dxa"/>
            <w:tcBorders>
              <w:right w:val="nil"/>
            </w:tcBorders>
            <w:vAlign w:val="center"/>
          </w:tcPr>
          <w:p w14:paraId="4050FF6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协议形式租赁</w:t>
            </w:r>
          </w:p>
        </w:tc>
      </w:tr>
      <w:tr w14:paraId="722EA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shd w:val="clear" w:color="auto" w:fill="auto"/>
            <w:vAlign w:val="center"/>
          </w:tcPr>
          <w:p w14:paraId="5F91DC06">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eastAsia" w:ascii="仿宋" w:hAnsi="仿宋" w:eastAsia="仿宋" w:cs="仿宋"/>
                <w:color w:val="auto"/>
                <w:spacing w:val="0"/>
                <w:w w:val="100"/>
                <w:kern w:val="2"/>
                <w:position w:val="0"/>
                <w:sz w:val="24"/>
                <w:szCs w:val="24"/>
                <w:highlight w:val="none"/>
                <w:lang w:val="en-US" w:eastAsia="zh-CN" w:bidi="ar-SA"/>
              </w:rPr>
            </w:pPr>
            <w:r>
              <w:rPr>
                <w:rFonts w:hint="eastAsia" w:ascii="仿宋" w:hAnsi="仿宋" w:eastAsia="仿宋" w:cs="仿宋"/>
                <w:color w:val="auto"/>
                <w:spacing w:val="0"/>
                <w:w w:val="100"/>
                <w:position w:val="0"/>
                <w:sz w:val="24"/>
                <w:szCs w:val="24"/>
                <w:highlight w:val="none"/>
                <w:lang w:val="en-US" w:eastAsia="zh-CN"/>
              </w:rPr>
              <w:t>9</w:t>
            </w:r>
          </w:p>
        </w:tc>
        <w:tc>
          <w:tcPr>
            <w:tcW w:w="4414" w:type="dxa"/>
            <w:vAlign w:val="center"/>
          </w:tcPr>
          <w:p w14:paraId="55AC26D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切割机</w:t>
            </w:r>
          </w:p>
        </w:tc>
        <w:tc>
          <w:tcPr>
            <w:tcW w:w="2522" w:type="dxa"/>
            <w:tcBorders>
              <w:right w:val="nil"/>
            </w:tcBorders>
            <w:vAlign w:val="center"/>
          </w:tcPr>
          <w:p w14:paraId="4AB4C0B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协议形式租赁</w:t>
            </w:r>
          </w:p>
        </w:tc>
      </w:tr>
      <w:tr w14:paraId="698A7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shd w:val="clear" w:color="auto" w:fill="auto"/>
            <w:vAlign w:val="center"/>
          </w:tcPr>
          <w:p w14:paraId="758AA2CF">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eastAsia" w:ascii="仿宋" w:hAnsi="仿宋" w:eastAsia="仿宋" w:cs="仿宋"/>
                <w:color w:val="auto"/>
                <w:spacing w:val="0"/>
                <w:w w:val="100"/>
                <w:kern w:val="2"/>
                <w:position w:val="0"/>
                <w:sz w:val="24"/>
                <w:szCs w:val="24"/>
                <w:highlight w:val="none"/>
                <w:lang w:val="en-US" w:eastAsia="zh-CN" w:bidi="ar-SA"/>
              </w:rPr>
            </w:pPr>
            <w:r>
              <w:rPr>
                <w:rFonts w:hint="eastAsia" w:ascii="仿宋" w:hAnsi="仿宋" w:eastAsia="仿宋" w:cs="仿宋"/>
                <w:color w:val="auto"/>
                <w:spacing w:val="0"/>
                <w:w w:val="100"/>
                <w:position w:val="0"/>
                <w:sz w:val="24"/>
                <w:szCs w:val="24"/>
                <w:highlight w:val="none"/>
              </w:rPr>
              <w:t>10</w:t>
            </w:r>
          </w:p>
        </w:tc>
        <w:tc>
          <w:tcPr>
            <w:tcW w:w="4414" w:type="dxa"/>
            <w:vAlign w:val="center"/>
          </w:tcPr>
          <w:p w14:paraId="413A377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便携式发电机</w:t>
            </w:r>
          </w:p>
        </w:tc>
        <w:tc>
          <w:tcPr>
            <w:tcW w:w="2522" w:type="dxa"/>
            <w:tcBorders>
              <w:right w:val="nil"/>
            </w:tcBorders>
            <w:vAlign w:val="center"/>
          </w:tcPr>
          <w:p w14:paraId="46B456B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2</w:t>
            </w:r>
          </w:p>
        </w:tc>
      </w:tr>
      <w:tr w14:paraId="5873C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1630" w:type="dxa"/>
            <w:tcBorders>
              <w:left w:val="nil"/>
            </w:tcBorders>
            <w:shd w:val="clear" w:color="auto" w:fill="auto"/>
            <w:vAlign w:val="center"/>
          </w:tcPr>
          <w:p w14:paraId="4CED81D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eastAsia" w:ascii="仿宋" w:hAnsi="仿宋" w:eastAsia="仿宋" w:cs="仿宋"/>
                <w:color w:val="auto"/>
                <w:spacing w:val="0"/>
                <w:w w:val="100"/>
                <w:kern w:val="2"/>
                <w:position w:val="0"/>
                <w:sz w:val="24"/>
                <w:szCs w:val="24"/>
                <w:highlight w:val="none"/>
                <w:lang w:val="en-US" w:eastAsia="zh-CN" w:bidi="ar-SA"/>
              </w:rPr>
            </w:pPr>
            <w:r>
              <w:rPr>
                <w:rFonts w:hint="eastAsia" w:ascii="仿宋" w:hAnsi="仿宋" w:eastAsia="仿宋" w:cs="仿宋"/>
                <w:color w:val="auto"/>
                <w:spacing w:val="0"/>
                <w:w w:val="100"/>
                <w:position w:val="0"/>
                <w:sz w:val="24"/>
                <w:szCs w:val="24"/>
                <w:highlight w:val="none"/>
              </w:rPr>
              <w:t>11</w:t>
            </w:r>
          </w:p>
        </w:tc>
        <w:tc>
          <w:tcPr>
            <w:tcW w:w="4414" w:type="dxa"/>
            <w:vAlign w:val="center"/>
          </w:tcPr>
          <w:p w14:paraId="4853E6B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适合各类PE管的热熔机</w:t>
            </w:r>
          </w:p>
        </w:tc>
        <w:tc>
          <w:tcPr>
            <w:tcW w:w="2522" w:type="dxa"/>
            <w:tcBorders>
              <w:right w:val="nil"/>
            </w:tcBorders>
            <w:vAlign w:val="center"/>
          </w:tcPr>
          <w:p w14:paraId="7D1B9EA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协议形式租赁</w:t>
            </w:r>
          </w:p>
        </w:tc>
      </w:tr>
      <w:tr w14:paraId="060DE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shd w:val="clear" w:color="auto" w:fill="auto"/>
            <w:vAlign w:val="center"/>
          </w:tcPr>
          <w:p w14:paraId="01169C01">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eastAsia" w:ascii="仿宋" w:hAnsi="仿宋" w:eastAsia="仿宋" w:cs="仿宋"/>
                <w:color w:val="auto"/>
                <w:spacing w:val="0"/>
                <w:w w:val="100"/>
                <w:kern w:val="2"/>
                <w:position w:val="0"/>
                <w:sz w:val="24"/>
                <w:szCs w:val="24"/>
                <w:highlight w:val="none"/>
                <w:lang w:val="en-US" w:eastAsia="zh-CN" w:bidi="ar-SA"/>
              </w:rPr>
            </w:pPr>
            <w:r>
              <w:rPr>
                <w:rFonts w:hint="eastAsia" w:ascii="仿宋" w:hAnsi="仿宋" w:eastAsia="仿宋" w:cs="仿宋"/>
                <w:color w:val="auto"/>
                <w:spacing w:val="0"/>
                <w:w w:val="100"/>
                <w:position w:val="0"/>
                <w:sz w:val="24"/>
                <w:szCs w:val="24"/>
                <w:highlight w:val="none"/>
              </w:rPr>
              <w:t>12</w:t>
            </w:r>
          </w:p>
        </w:tc>
        <w:tc>
          <w:tcPr>
            <w:tcW w:w="4414" w:type="dxa"/>
            <w:vAlign w:val="center"/>
          </w:tcPr>
          <w:p w14:paraId="68DDC54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挖掘机</w:t>
            </w:r>
          </w:p>
        </w:tc>
        <w:tc>
          <w:tcPr>
            <w:tcW w:w="2522" w:type="dxa"/>
            <w:tcBorders>
              <w:right w:val="nil"/>
            </w:tcBorders>
            <w:vAlign w:val="center"/>
          </w:tcPr>
          <w:p w14:paraId="0487B56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协议形式租赁</w:t>
            </w:r>
          </w:p>
        </w:tc>
      </w:tr>
      <w:tr w14:paraId="1A092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630" w:type="dxa"/>
            <w:tcBorders>
              <w:left w:val="nil"/>
            </w:tcBorders>
            <w:shd w:val="clear" w:color="auto" w:fill="auto"/>
            <w:vAlign w:val="center"/>
          </w:tcPr>
          <w:p w14:paraId="72F3E4A4">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eastAsia" w:ascii="仿宋" w:hAnsi="仿宋" w:eastAsia="仿宋" w:cs="仿宋"/>
                <w:color w:val="auto"/>
                <w:spacing w:val="0"/>
                <w:w w:val="100"/>
                <w:kern w:val="2"/>
                <w:position w:val="0"/>
                <w:sz w:val="24"/>
                <w:szCs w:val="24"/>
                <w:highlight w:val="none"/>
                <w:lang w:val="en-US" w:eastAsia="zh-CN" w:bidi="ar-SA"/>
              </w:rPr>
            </w:pPr>
            <w:r>
              <w:rPr>
                <w:rFonts w:hint="eastAsia" w:ascii="仿宋" w:hAnsi="仿宋" w:eastAsia="仿宋" w:cs="仿宋"/>
                <w:color w:val="auto"/>
                <w:spacing w:val="0"/>
                <w:w w:val="100"/>
                <w:position w:val="0"/>
                <w:sz w:val="24"/>
                <w:szCs w:val="24"/>
                <w:highlight w:val="none"/>
              </w:rPr>
              <w:t>13</w:t>
            </w:r>
          </w:p>
        </w:tc>
        <w:tc>
          <w:tcPr>
            <w:tcW w:w="4414" w:type="dxa"/>
            <w:vAlign w:val="center"/>
          </w:tcPr>
          <w:p w14:paraId="44DDE0D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抢修车</w:t>
            </w:r>
          </w:p>
        </w:tc>
        <w:tc>
          <w:tcPr>
            <w:tcW w:w="2522" w:type="dxa"/>
            <w:tcBorders>
              <w:right w:val="nil"/>
            </w:tcBorders>
            <w:vAlign w:val="center"/>
          </w:tcPr>
          <w:p w14:paraId="272D968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协议形式租赁</w:t>
            </w:r>
          </w:p>
        </w:tc>
      </w:tr>
      <w:tr w14:paraId="1E2B1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630" w:type="dxa"/>
            <w:tcBorders>
              <w:left w:val="nil"/>
              <w:bottom w:val="single" w:color="000000" w:sz="10" w:space="0"/>
            </w:tcBorders>
            <w:shd w:val="clear" w:color="auto" w:fill="auto"/>
            <w:vAlign w:val="center"/>
          </w:tcPr>
          <w:p w14:paraId="45F27461">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eastAsia" w:ascii="仿宋" w:hAnsi="仿宋" w:eastAsia="仿宋" w:cs="仿宋"/>
                <w:color w:val="auto"/>
                <w:spacing w:val="0"/>
                <w:w w:val="100"/>
                <w:kern w:val="2"/>
                <w:position w:val="0"/>
                <w:sz w:val="24"/>
                <w:szCs w:val="24"/>
                <w:highlight w:val="none"/>
                <w:lang w:val="en-US" w:eastAsia="zh-CN" w:bidi="ar-SA"/>
              </w:rPr>
            </w:pPr>
            <w:r>
              <w:rPr>
                <w:rFonts w:hint="eastAsia" w:ascii="仿宋" w:hAnsi="仿宋" w:eastAsia="仿宋" w:cs="仿宋"/>
                <w:color w:val="auto"/>
                <w:spacing w:val="0"/>
                <w:w w:val="100"/>
                <w:position w:val="0"/>
                <w:sz w:val="24"/>
                <w:szCs w:val="24"/>
                <w:highlight w:val="none"/>
              </w:rPr>
              <w:t>14</w:t>
            </w:r>
          </w:p>
        </w:tc>
        <w:tc>
          <w:tcPr>
            <w:tcW w:w="4414" w:type="dxa"/>
            <w:tcBorders>
              <w:bottom w:val="single" w:color="000000" w:sz="10" w:space="0"/>
            </w:tcBorders>
            <w:vAlign w:val="center"/>
          </w:tcPr>
          <w:p w14:paraId="3A9CD12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洒水车</w:t>
            </w:r>
          </w:p>
        </w:tc>
        <w:tc>
          <w:tcPr>
            <w:tcW w:w="2522" w:type="dxa"/>
            <w:tcBorders>
              <w:bottom w:val="single" w:color="000000" w:sz="10" w:space="0"/>
              <w:right w:val="nil"/>
            </w:tcBorders>
            <w:vAlign w:val="center"/>
          </w:tcPr>
          <w:p w14:paraId="10EF3D6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协议形式租赁</w:t>
            </w:r>
          </w:p>
        </w:tc>
      </w:tr>
    </w:tbl>
    <w:p w14:paraId="23C230F5">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华文仿宋" w:hAnsi="华文仿宋" w:eastAsia="华文仿宋" w:cs="华文仿宋"/>
          <w:color w:val="auto"/>
          <w:spacing w:val="0"/>
          <w:w w:val="100"/>
          <w:position w:val="0"/>
          <w:sz w:val="28"/>
          <w:szCs w:val="28"/>
          <w:highlight w:val="none"/>
        </w:rPr>
      </w:pPr>
      <w:r>
        <w:rPr>
          <w:rFonts w:ascii="Times New Roman" w:hAnsi="Times New Roman" w:eastAsia="Times New Roman" w:cs="Times New Roman"/>
          <w:b/>
          <w:bCs/>
          <w:color w:val="auto"/>
          <w:spacing w:val="0"/>
          <w:w w:val="100"/>
          <w:position w:val="0"/>
          <w:sz w:val="28"/>
          <w:szCs w:val="28"/>
          <w:highlight w:val="none"/>
        </w:rPr>
        <w:t>3.2.2</w:t>
      </w:r>
      <w:r>
        <w:rPr>
          <w:rFonts w:ascii="华文仿宋" w:hAnsi="华文仿宋" w:eastAsia="华文仿宋" w:cs="华文仿宋"/>
          <w:b/>
          <w:bCs/>
          <w:color w:val="auto"/>
          <w:spacing w:val="0"/>
          <w:w w:val="100"/>
          <w:position w:val="0"/>
          <w:sz w:val="28"/>
          <w:szCs w:val="28"/>
          <w:highlight w:val="none"/>
        </w:rPr>
        <w:t>应急照明</w:t>
      </w:r>
    </w:p>
    <w:p w14:paraId="168E041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本项目为水源地项目，库区周边无照明设施，一旦夜间发生事故，水厂备有应急照明车，能快速到达指定地点，当事故较为严重时，可调用乌翠区应急救援指挥中心的应急照明车，在事故的抢险和伤员救护过程中，保证应急和照明电源的使用。</w:t>
      </w:r>
    </w:p>
    <w:p w14:paraId="7B211F67">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667" w:name="_Toc20473"/>
      <w:bookmarkStart w:id="668" w:name="_Toc12468"/>
      <w:bookmarkStart w:id="669" w:name="_Toc27881"/>
      <w:bookmarkStart w:id="670" w:name="_Toc9628"/>
      <w:bookmarkStart w:id="671" w:name="_Toc695"/>
      <w:bookmarkStart w:id="672" w:name="_Toc8540"/>
      <w:bookmarkStart w:id="673" w:name="_Toc14120"/>
      <w:r>
        <w:rPr>
          <w:rFonts w:ascii="Times New Roman" w:hAnsi="Times New Roman" w:eastAsia="Times New Roman" w:cs="Times New Roman"/>
          <w:b/>
          <w:bCs/>
          <w:color w:val="auto"/>
          <w:spacing w:val="0"/>
          <w:w w:val="100"/>
          <w:position w:val="0"/>
          <w:sz w:val="28"/>
          <w:szCs w:val="28"/>
          <w:highlight w:val="none"/>
        </w:rPr>
        <w:t>3.3</w:t>
      </w:r>
      <w:r>
        <w:rPr>
          <w:rFonts w:ascii="仿宋" w:hAnsi="仿宋" w:eastAsia="仿宋" w:cs="仿宋"/>
          <w:b/>
          <w:bCs/>
          <w:color w:val="auto"/>
          <w:spacing w:val="0"/>
          <w:w w:val="100"/>
          <w:position w:val="0"/>
          <w:sz w:val="28"/>
          <w:szCs w:val="28"/>
          <w:highlight w:val="none"/>
        </w:rPr>
        <w:t>应急队伍</w:t>
      </w:r>
      <w:bookmarkEnd w:id="667"/>
      <w:bookmarkEnd w:id="668"/>
      <w:bookmarkEnd w:id="669"/>
      <w:bookmarkEnd w:id="670"/>
      <w:bookmarkEnd w:id="671"/>
      <w:bookmarkEnd w:id="672"/>
      <w:bookmarkEnd w:id="673"/>
    </w:p>
    <w:p w14:paraId="6E823E1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乌翠区集中式地表水饮用水水源地突发环境事件应急组织指挥体系由区集中式地表水饮用水水源地突发环境事件应急指挥部、现场应急指挥部、现场应急工作组组成。水源地管理单位成立应急指挥部，并受区级突发环境事件应急指挥部统一领导。</w:t>
      </w:r>
    </w:p>
    <w:p w14:paraId="24495F6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区政府成立乌翠区集中式地表水饮用水水源地突发环境事件应急指挥部（以下简称区指挥部），作为全区水源地突发环境事件指挥和协调机构，负责全区水源地突发环境事件的应急处置工作。总指挥由区政府分管副区长担任，副总指挥由</w:t>
      </w:r>
      <w:r>
        <w:rPr>
          <w:rFonts w:hint="eastAsia" w:ascii="仿宋" w:hAnsi="仿宋" w:eastAsia="仿宋" w:cs="仿宋"/>
          <w:color w:val="auto"/>
          <w:spacing w:val="0"/>
          <w:w w:val="100"/>
          <w:position w:val="0"/>
          <w:sz w:val="28"/>
          <w:szCs w:val="28"/>
          <w:highlight w:val="none"/>
          <w:lang w:val="en-US" w:eastAsia="zh-CN"/>
        </w:rPr>
        <w:t>乌翠</w:t>
      </w:r>
      <w:r>
        <w:rPr>
          <w:rFonts w:ascii="仿宋" w:hAnsi="仿宋" w:eastAsia="仿宋" w:cs="仿宋"/>
          <w:color w:val="auto"/>
          <w:spacing w:val="0"/>
          <w:w w:val="100"/>
          <w:position w:val="0"/>
          <w:sz w:val="28"/>
          <w:szCs w:val="28"/>
          <w:highlight w:val="none"/>
        </w:rPr>
        <w:t>生态环境局局长</w:t>
      </w:r>
      <w:r>
        <w:rPr>
          <w:rFonts w:hint="eastAsia" w:ascii="仿宋" w:hAnsi="仿宋" w:eastAsia="仿宋" w:cs="仿宋"/>
          <w:color w:val="auto"/>
          <w:spacing w:val="0"/>
          <w:w w:val="100"/>
          <w:position w:val="0"/>
          <w:sz w:val="28"/>
          <w:szCs w:val="28"/>
          <w:highlight w:val="none"/>
          <w:lang w:val="en-US" w:eastAsia="zh-CN"/>
        </w:rPr>
        <w:t>和应急管理局局长</w:t>
      </w:r>
      <w:r>
        <w:rPr>
          <w:rFonts w:ascii="仿宋" w:hAnsi="仿宋" w:eastAsia="仿宋" w:cs="仿宋"/>
          <w:color w:val="auto"/>
          <w:spacing w:val="0"/>
          <w:w w:val="100"/>
          <w:position w:val="0"/>
          <w:sz w:val="28"/>
          <w:szCs w:val="28"/>
          <w:highlight w:val="none"/>
        </w:rPr>
        <w:t>担任。成员由区委宣传部、</w:t>
      </w:r>
      <w:r>
        <w:rPr>
          <w:rFonts w:hint="eastAsia" w:ascii="仿宋" w:hAnsi="仿宋" w:eastAsia="仿宋" w:cs="仿宋"/>
          <w:color w:val="auto"/>
          <w:spacing w:val="0"/>
          <w:w w:val="100"/>
          <w:position w:val="0"/>
          <w:sz w:val="28"/>
          <w:szCs w:val="28"/>
          <w:highlight w:val="none"/>
          <w:lang w:val="en-US" w:eastAsia="zh-CN"/>
        </w:rPr>
        <w:t>乌翠</w:t>
      </w:r>
      <w:r>
        <w:rPr>
          <w:rFonts w:ascii="仿宋" w:hAnsi="仿宋" w:eastAsia="仿宋" w:cs="仿宋"/>
          <w:color w:val="auto"/>
          <w:spacing w:val="0"/>
          <w:w w:val="100"/>
          <w:position w:val="0"/>
          <w:sz w:val="28"/>
          <w:szCs w:val="28"/>
          <w:highlight w:val="none"/>
        </w:rPr>
        <w:t>生态环境局、区应急管理局、区林草局（区农业农村局）、区水务局、区卫生健康局、区消防救援大队、区公安局、区交通运输局、区自然资源局、区财政局及水源地管理单位分管负责同志担任。区指挥部办公室（以下简称区指办）设在</w:t>
      </w:r>
      <w:r>
        <w:rPr>
          <w:rFonts w:hint="eastAsia" w:ascii="仿宋" w:hAnsi="仿宋" w:eastAsia="仿宋" w:cs="仿宋"/>
          <w:color w:val="auto"/>
          <w:spacing w:val="0"/>
          <w:w w:val="100"/>
          <w:position w:val="0"/>
          <w:sz w:val="28"/>
          <w:szCs w:val="28"/>
          <w:highlight w:val="none"/>
          <w:lang w:val="en-US" w:eastAsia="zh-CN"/>
        </w:rPr>
        <w:t>乌翠</w:t>
      </w:r>
      <w:r>
        <w:rPr>
          <w:rFonts w:ascii="仿宋" w:hAnsi="仿宋" w:eastAsia="仿宋" w:cs="仿宋"/>
          <w:color w:val="auto"/>
          <w:spacing w:val="0"/>
          <w:w w:val="100"/>
          <w:position w:val="0"/>
          <w:sz w:val="28"/>
          <w:szCs w:val="28"/>
          <w:highlight w:val="none"/>
        </w:rPr>
        <w:t>生态环境局，办公室主任由</w:t>
      </w:r>
      <w:r>
        <w:rPr>
          <w:rFonts w:hint="eastAsia" w:ascii="仿宋" w:hAnsi="仿宋" w:eastAsia="仿宋" w:cs="仿宋"/>
          <w:color w:val="auto"/>
          <w:spacing w:val="0"/>
          <w:w w:val="100"/>
          <w:position w:val="0"/>
          <w:sz w:val="28"/>
          <w:szCs w:val="28"/>
          <w:highlight w:val="none"/>
          <w:lang w:val="en-US" w:eastAsia="zh-CN"/>
        </w:rPr>
        <w:t>乌翠</w:t>
      </w:r>
      <w:r>
        <w:rPr>
          <w:rFonts w:ascii="仿宋" w:hAnsi="仿宋" w:eastAsia="仿宋" w:cs="仿宋"/>
          <w:color w:val="auto"/>
          <w:spacing w:val="0"/>
          <w:w w:val="100"/>
          <w:position w:val="0"/>
          <w:sz w:val="28"/>
          <w:szCs w:val="28"/>
          <w:highlight w:val="none"/>
        </w:rPr>
        <w:t>生态环境局局长兼任。</w:t>
      </w:r>
    </w:p>
    <w:p w14:paraId="51BC68B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各应急组要按各自职责加强平时的演习、训练，完善突发事件应急预案。在发生事件时能迅速投入应急救援和处置工作，其主要职责如下：</w:t>
      </w:r>
    </w:p>
    <w:p w14:paraId="7F8113B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（1）指挥部职责</w:t>
      </w:r>
    </w:p>
    <w:p w14:paraId="1E87A0D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1）</w:t>
      </w:r>
      <w:r>
        <w:rPr>
          <w:rFonts w:ascii="仿宋" w:hAnsi="仿宋" w:eastAsia="仿宋" w:cs="仿宋"/>
          <w:color w:val="auto"/>
          <w:spacing w:val="0"/>
          <w:w w:val="100"/>
          <w:position w:val="0"/>
          <w:sz w:val="28"/>
          <w:szCs w:val="28"/>
          <w:highlight w:val="none"/>
        </w:rPr>
        <w:t>总指挥职责</w:t>
      </w:r>
    </w:p>
    <w:p w14:paraId="68898D7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贯彻执行国家、地方人民政府及有关部门关于水源地突发环境事件的各项要求；组织编制、修订和批准水源地应急预案；指导加强水源地突发环境事件应急管理体系建设；协调保障水源地突发环境事件应急管理工作经费。发生水源地突发环境事件时，亲自赶赴现场进行指挥，组织开展现场应急处置；贯彻执行当地或上级人民政府及有关部门的应急指令；按照预警、应急启动或终止条件，决定预案的启动或终止；研判突发环境事件发展态势，组织制定并批准现场处置方案；组织开展损害评估等后期工作。</w:t>
      </w:r>
    </w:p>
    <w:p w14:paraId="462A174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hint="eastAsia" w:ascii="仿宋" w:hAnsi="仿宋" w:eastAsia="仿宋" w:cs="仿宋"/>
          <w:color w:val="auto"/>
          <w:spacing w:val="0"/>
          <w:w w:val="100"/>
          <w:position w:val="0"/>
          <w:sz w:val="28"/>
          <w:szCs w:val="28"/>
          <w:highlight w:val="none"/>
          <w:lang w:eastAsia="zh-CN"/>
        </w:rPr>
        <w:t>2）</w:t>
      </w:r>
      <w:r>
        <w:rPr>
          <w:rFonts w:ascii="仿宋" w:hAnsi="仿宋" w:eastAsia="仿宋" w:cs="仿宋"/>
          <w:color w:val="auto"/>
          <w:spacing w:val="0"/>
          <w:w w:val="100"/>
          <w:position w:val="0"/>
          <w:sz w:val="28"/>
          <w:szCs w:val="28"/>
          <w:highlight w:val="none"/>
        </w:rPr>
        <w:t>副总指挥职责</w:t>
      </w:r>
    </w:p>
    <w:p w14:paraId="1F588EF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协助总指挥开展有关工作；组织指导预案培训和演练、应急救援；队伍建设和能力评估等工作；指导开展水源地突发环境事件风险防范和应急准备工作。</w:t>
      </w:r>
    </w:p>
    <w:p w14:paraId="3AA9CBE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协助总指挥组织开展现场应急处置；根据分工或总指挥安排，负责现场的具体指挥协调；负责提出有关应急处置建议；负责向场外人员通报有关应急信息；负责协调现场与场外应急处置工作；停止取水后，负责协调保障居民用水；处置现场出现的紧急情况。</w:t>
      </w:r>
    </w:p>
    <w:p w14:paraId="08C3D89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（2）应急办公室职责</w:t>
      </w:r>
    </w:p>
    <w:p w14:paraId="744D176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组织编制、修订水源地应急预案；负责水源地应急预案的日常管理，开展预案培训和演练、应急救援队伍建设和能力评估等工作；组织开展水源地突发环境事件风险防范和应急准备工作。贯彻执行总指挥、副总指挥的各项指令和要求；负责信息汇总上报，并与有关的外部应急部门、组织和机构进行联络；负责调动应急人员、调配应急资源和联络外部应急组织或机构；收集整理有关事件数据。</w:t>
      </w:r>
    </w:p>
    <w:p w14:paraId="42FFF13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（3）应急救援小组</w:t>
      </w:r>
    </w:p>
    <w:p w14:paraId="1334992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突发事故应急响应与处置工作的需要，设立九个专业工作小组，分别是应急监测组、应急处置组、应急供水保障组、应急调查组、应急物资保障组、善后处置组、新闻宣传组以及应急专家库。各小组在应急救援领导小组组长的统一领导下，根据事故性质、严重程度、应急响应与处置要求，履行相应的职责。乌翠区内应急救援小组各组组成成员单位及职责分别如下：</w:t>
      </w:r>
    </w:p>
    <w:p w14:paraId="359F449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1）应急监测组</w:t>
      </w:r>
    </w:p>
    <w:p w14:paraId="236FCCF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由生态环境局组成，主要职责：环境保护：负责水源地日常监</w:t>
      </w:r>
    </w:p>
    <w:p w14:paraId="102AF3B4">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测，及时上报并通报水源地水质异常信息。开展水源地污染防治的日常监督和管理。负责应急监测，督促、指导有关部门和单位开展水源地污染物削减处置等工作。</w:t>
      </w:r>
    </w:p>
    <w:p w14:paraId="4F989F7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2）应急处置组</w:t>
      </w:r>
    </w:p>
    <w:p w14:paraId="34A13AE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由应急管理局、消防救援大队、林草局（农业农村局）、（依托市气象局）组成，主要职责：安全生产监管：防范企业生产安全事</w:t>
      </w:r>
      <w:r>
        <w:rPr>
          <w:rFonts w:hint="eastAsia" w:ascii="仿宋" w:hAnsi="仿宋" w:eastAsia="仿宋" w:cs="仿宋"/>
          <w:color w:val="auto"/>
          <w:spacing w:val="0"/>
          <w:w w:val="100"/>
          <w:position w:val="0"/>
          <w:sz w:val="28"/>
          <w:szCs w:val="28"/>
          <w:highlight w:val="none"/>
          <w:lang w:eastAsia="zh-CN"/>
        </w:rPr>
        <w:t>故和</w:t>
      </w:r>
      <w:r>
        <w:rPr>
          <w:rFonts w:ascii="仿宋" w:hAnsi="仿宋" w:eastAsia="仿宋" w:cs="仿宋"/>
          <w:color w:val="auto"/>
          <w:spacing w:val="0"/>
          <w:w w:val="100"/>
          <w:position w:val="0"/>
          <w:sz w:val="28"/>
          <w:szCs w:val="28"/>
          <w:highlight w:val="none"/>
        </w:rPr>
        <w:t>次生水源地突发环境事件，及时上报并通报事故信息。协助处置因企业生产安全事故、违法排污等导致的水源地突发环境事件。农业：管理暴雨期间入河农灌退水排放行为，防范农业面源导致的水源地突发环境事件。协助处置因农业面源、渔业养殖导致的水源地突发环境事件。对具有农灌功能的水源地，在应急期间暂停农灌取水。气象：及时上报、通报和发布暴雨、洪水等气象信息。负责应急期间提供水源地周边气象信息。消防：在处置火灾爆炸事故时，防止消防水进入水源地及其连接水体。</w:t>
      </w:r>
    </w:p>
    <w:p w14:paraId="6F382F5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3）应急供水保障组</w:t>
      </w:r>
    </w:p>
    <w:p w14:paraId="302D08B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由水务局组成，主要职责：负责供水单位日常管理工作，对供水单位水质异常现象进行调查处理，及时上报并通报供水单位水质异常信息。负责指导供水单位的应急处置工作，组织供水单位进行应急监测，落实停止取水、启动深度处理设施和切换备用水源等应急工作安排。战区（武装）：对影响范围大或严重的水源地</w:t>
      </w:r>
      <w:r>
        <w:rPr>
          <w:rFonts w:hint="eastAsia" w:ascii="仿宋" w:hAnsi="仿宋" w:eastAsia="仿宋" w:cs="仿宋"/>
          <w:color w:val="auto"/>
          <w:spacing w:val="0"/>
          <w:w w:val="100"/>
          <w:position w:val="0"/>
          <w:sz w:val="28"/>
          <w:szCs w:val="28"/>
          <w:highlight w:val="none"/>
          <w:lang w:eastAsia="zh-CN"/>
        </w:rPr>
        <w:t>突发环境事件应急响应</w:t>
      </w:r>
      <w:r>
        <w:rPr>
          <w:rFonts w:ascii="仿宋" w:hAnsi="仿宋" w:eastAsia="仿宋" w:cs="仿宋"/>
          <w:color w:val="auto"/>
          <w:spacing w:val="0"/>
          <w:w w:val="100"/>
          <w:position w:val="0"/>
          <w:sz w:val="28"/>
          <w:szCs w:val="28"/>
          <w:highlight w:val="none"/>
        </w:rPr>
        <w:t>工作进行支援支持。</w:t>
      </w:r>
    </w:p>
    <w:p w14:paraId="64455DD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4）应急调查组</w:t>
      </w:r>
    </w:p>
    <w:p w14:paraId="295764E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由公安局组成，主要职责：公安：查处导致水源地突发环境事件的违法犯罪行为。</w:t>
      </w:r>
    </w:p>
    <w:p w14:paraId="16E7523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5）应急物资保障组</w:t>
      </w:r>
    </w:p>
    <w:p w14:paraId="465A26F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由财政局、自然资源局、卫生健康局组成，主要职责：财政：负责保障水源地突发环境事件应急管理工作经费。负责保障水源地突发环境事件应急处置期间的费用。国土资源：</w:t>
      </w:r>
      <w:r>
        <w:rPr>
          <w:rStyle w:val="15"/>
          <w:rFonts w:hint="eastAsia" w:ascii="仿宋" w:hAnsi="仿宋" w:eastAsia="仿宋" w:cs="仿宋"/>
          <w:color w:val="auto"/>
          <w:sz w:val="28"/>
          <w:szCs w:val="28"/>
          <w:highlight w:val="none"/>
          <w:lang w:val="en-US" w:eastAsia="zh-CN" w:bidi="ar"/>
        </w:rPr>
        <w:t>配合市自然资源局规划适用于水源地突发环境事件应急处置的场地</w:t>
      </w:r>
      <w:r>
        <w:rPr>
          <w:rFonts w:ascii="仿宋" w:hAnsi="仿宋" w:eastAsia="仿宋" w:cs="仿宋"/>
          <w:color w:val="auto"/>
          <w:spacing w:val="0"/>
          <w:w w:val="100"/>
          <w:position w:val="0"/>
          <w:sz w:val="28"/>
          <w:szCs w:val="28"/>
          <w:highlight w:val="none"/>
        </w:rPr>
        <w:t>。卫生：负责自来水管网末梢水水质卫生日常管理，及时上报并通报管网末梢水水质异常信息。负责管网末梢水水质应急监测，确保应急期间居民饮水卫生安全。</w:t>
      </w:r>
    </w:p>
    <w:p w14:paraId="7D2A1D3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6）善后处置组</w:t>
      </w:r>
    </w:p>
    <w:p w14:paraId="4A91F05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由交通运输局组成，主要职责：交通运输：负责危险化学品运输车辆跨越水源保护区道路桥梁的日常应急管理工作，协助处置交通事故次生的水源地突发环境事件，事故发生后负责保障应急物资运输车辆快速通行。</w:t>
      </w:r>
    </w:p>
    <w:p w14:paraId="6B13C74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7）新闻宣传组</w:t>
      </w:r>
    </w:p>
    <w:p w14:paraId="0B824F5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由宣传部组成，主要职责：信息发布：对外发布事件信息及应急处置进展情况。协助组织区指挥部提供的准确、权威信息统一发布，确保信息准确、及时传递，正确引导社会舆论。事件发生的第一时间要向社会发布简要信息，随后发布初步核实情况、政府应对措施等，并根据事件处置情况做好后续发布工作。</w:t>
      </w:r>
    </w:p>
    <w:p w14:paraId="2ABDF43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8）应急专家</w:t>
      </w:r>
    </w:p>
    <w:p w14:paraId="4CFEA33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由区生态环境局负责，主要职责：组织有关专家为应急处置工作提供技术支持和决策咨询等。</w:t>
      </w:r>
    </w:p>
    <w:p w14:paraId="375B9AE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（4）成员单位职责</w:t>
      </w:r>
    </w:p>
    <w:p w14:paraId="56FD1EC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各成员单位要同时按照本预案规定的职责分工，做好突发环境事件预测、预警、报警、处置、终止、善后等</w:t>
      </w:r>
      <w:r>
        <w:rPr>
          <w:rFonts w:hint="eastAsia" w:ascii="仿宋" w:hAnsi="仿宋" w:eastAsia="仿宋" w:cs="仿宋"/>
          <w:color w:val="auto"/>
          <w:spacing w:val="0"/>
          <w:w w:val="100"/>
          <w:position w:val="0"/>
          <w:sz w:val="28"/>
          <w:szCs w:val="28"/>
          <w:highlight w:val="none"/>
          <w:lang w:eastAsia="zh-CN"/>
        </w:rPr>
        <w:t>环节</w:t>
      </w:r>
      <w:r>
        <w:rPr>
          <w:rFonts w:ascii="仿宋" w:hAnsi="仿宋" w:eastAsia="仿宋" w:cs="仿宋"/>
          <w:color w:val="auto"/>
          <w:spacing w:val="0"/>
          <w:w w:val="100"/>
          <w:position w:val="0"/>
          <w:sz w:val="28"/>
          <w:szCs w:val="28"/>
          <w:highlight w:val="none"/>
        </w:rPr>
        <w:t>的相应应急处置工作。</w:t>
      </w:r>
    </w:p>
    <w:p w14:paraId="25C666B2">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674" w:name="_Toc22209"/>
      <w:bookmarkStart w:id="675" w:name="_Toc18032"/>
      <w:bookmarkStart w:id="676" w:name="_Toc31905"/>
      <w:bookmarkStart w:id="677" w:name="_Toc17413"/>
      <w:bookmarkStart w:id="678" w:name="_Toc29551"/>
      <w:bookmarkStart w:id="679" w:name="_Toc12679"/>
      <w:bookmarkStart w:id="680" w:name="_Toc2809"/>
      <w:r>
        <w:rPr>
          <w:rFonts w:ascii="Times New Roman" w:hAnsi="Times New Roman" w:eastAsia="Times New Roman" w:cs="Times New Roman"/>
          <w:b/>
          <w:bCs/>
          <w:color w:val="auto"/>
          <w:spacing w:val="0"/>
          <w:w w:val="100"/>
          <w:position w:val="0"/>
          <w:sz w:val="28"/>
          <w:szCs w:val="28"/>
          <w:highlight w:val="none"/>
        </w:rPr>
        <w:t>3.4</w:t>
      </w:r>
      <w:r>
        <w:rPr>
          <w:rFonts w:ascii="仿宋" w:hAnsi="仿宋" w:eastAsia="仿宋" w:cs="仿宋"/>
          <w:b/>
          <w:bCs/>
          <w:color w:val="auto"/>
          <w:spacing w:val="0"/>
          <w:w w:val="100"/>
          <w:position w:val="0"/>
          <w:sz w:val="28"/>
          <w:szCs w:val="28"/>
          <w:highlight w:val="none"/>
        </w:rPr>
        <w:t>环境应急专项经费调查</w:t>
      </w:r>
      <w:bookmarkEnd w:id="674"/>
      <w:bookmarkEnd w:id="675"/>
      <w:bookmarkEnd w:id="676"/>
      <w:bookmarkEnd w:id="677"/>
      <w:bookmarkEnd w:id="678"/>
      <w:bookmarkEnd w:id="679"/>
      <w:bookmarkEnd w:id="680"/>
    </w:p>
    <w:p w14:paraId="6BB5501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应急救援经费保障是在突发环境事件发生时迅速开展应急工作的前提保障，没有可靠的资金渠道和充足的应急救援经费，就无法保证有效开展应急救援工作和维护应急管理体系正常运转，为此本项目应制定应急救援专项经费保障措施，具体如下：</w:t>
      </w:r>
    </w:p>
    <w:p w14:paraId="0622A04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建立应急经费保障机制可考虑着眼应对多种安全威胁，完成多样化救援任务的能力需要，按照战时应战、平时应急的思路，将现有应急管理体系中的抢险救灾领导和各应急救援专业小组有机结合起来，平时领导抢险救灾和做好动员准备，战时指挥动员实施职能。应急救援财力保障专业小组要把抢险救灾经费、物资装备经费等项目进行整合和统一管理。主要职责是：平时做好动员准备、开展动员演练的经费保障，以及防灾抗灾经费管理的基础工作，负责对包括应急投入和应急专项资金在内的所有保障基金的管理和运营；制定应对各种自然灾害和突发事件经费保障的应急经费保障预案、紧急状态下的财经执行法规和制度；与包括抢险救援、医疗救护、通信信息、交通运输、后勤服务在内的各有关职能小组建立紧急状况下的经费协调关系。一旦发生自然灾害或突发紧急事件，经费保障管理即成为应急救援经费管理指挥中心，负责召集上述相关部门进行灾情分析和项目论证、</w:t>
      </w:r>
    </w:p>
    <w:p w14:paraId="675C296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救灾资金的紧急动员、各部门资金需求统计和协调、救灾物资的采购和统一支付以及阶段性资金投入使用。</w:t>
      </w:r>
    </w:p>
    <w:p w14:paraId="421B093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（2）建立有机统一的协调机制首先要明确经费保障的协调主体及其职责。总体上可考虑依托项目应急救援领导组建应急救援资金协调管理小组，由本应急办公室统一管理调度</w:t>
      </w:r>
      <w:r>
        <w:rPr>
          <w:rFonts w:hint="eastAsia" w:ascii="仿宋" w:hAnsi="仿宋" w:eastAsia="仿宋" w:cs="仿宋"/>
          <w:color w:val="auto"/>
          <w:spacing w:val="0"/>
          <w:w w:val="100"/>
          <w:position w:val="0"/>
          <w:sz w:val="28"/>
          <w:szCs w:val="28"/>
          <w:highlight w:val="none"/>
          <w:lang w:eastAsia="zh-CN"/>
        </w:rPr>
        <w:t>，在</w:t>
      </w:r>
      <w:r>
        <w:rPr>
          <w:rFonts w:ascii="仿宋" w:hAnsi="仿宋" w:eastAsia="仿宋" w:cs="仿宋"/>
          <w:color w:val="auto"/>
          <w:spacing w:val="0"/>
          <w:w w:val="100"/>
          <w:position w:val="0"/>
          <w:sz w:val="28"/>
          <w:szCs w:val="28"/>
          <w:highlight w:val="none"/>
        </w:rPr>
        <w:t>发生重大自然灾害和突发事件时积极响应防灾救灾经费保障统管部门组织工作。由组织抗灾救援工作后勤部门应急救援资金协调管理小组对口协调防灾救灾经费保障统管部门，申请财务资金及时划拨应急保障；其次要进一步理顺需求上报渠道。水源地进行抗灾救灾活动要逐渐形成统计上报制度，并保证各系统之间信息渠道的顺畅。各救援组可指定专人负责将所需经费保障数额上报至抗灾救灾指</w:t>
      </w:r>
      <w:r>
        <w:rPr>
          <w:rFonts w:hint="eastAsia" w:ascii="仿宋" w:hAnsi="仿宋" w:eastAsia="仿宋" w:cs="仿宋"/>
          <w:color w:val="auto"/>
          <w:spacing w:val="0"/>
          <w:w w:val="100"/>
          <w:position w:val="0"/>
          <w:sz w:val="28"/>
          <w:szCs w:val="28"/>
          <w:highlight w:val="none"/>
          <w:lang w:eastAsia="zh-CN"/>
        </w:rPr>
        <w:t>挥部</w:t>
      </w:r>
      <w:r>
        <w:rPr>
          <w:rFonts w:ascii="仿宋" w:hAnsi="仿宋" w:eastAsia="仿宋" w:cs="仿宋"/>
          <w:color w:val="auto"/>
          <w:spacing w:val="0"/>
          <w:w w:val="100"/>
          <w:position w:val="0"/>
          <w:sz w:val="28"/>
          <w:szCs w:val="28"/>
          <w:highlight w:val="none"/>
        </w:rPr>
        <w:t>，经由抗灾救灾指挥专人汇总后及时报送项目应急救援资金协调管理小组审核。</w:t>
      </w:r>
    </w:p>
    <w:p w14:paraId="5443B26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（3）建立可靠的资金保障体系要建立一定规模的应急资金。水源地每年在制定安全生产投入计划时要预留部分应急资金，并把这部分应急资金列入水源地管理经费预算。</w:t>
      </w:r>
    </w:p>
    <w:p w14:paraId="218195D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强化经费保障监管力度首先要建立全方位监管制度。完善的法规制度是实施经费保障监管工作的根本依据。要健全完善救灾经费管理的规章和管理办法，使经费监管工作有章可循。其次要建立全过程全方位监控机制。监督管理工作要能够覆盖经费筹措募集、申请划拨、采购支付全过程。</w:t>
      </w:r>
    </w:p>
    <w:p w14:paraId="36D8A6C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（5）完善经费保障体系</w:t>
      </w:r>
    </w:p>
    <w:p w14:paraId="645ECA0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要进一步整合完善在应对环境保护与安全生产等突发事件中制定的各项标准和经费保障管理规定。根据水源地安全形势的变化，以及可能发生的突发事件，对救援经费管理规定和相关标准及时修订整理和完善，使应对突发事件的经费保障管理制度更加体系化、规范化、条理化。此外，还要制定针对性和操作性强的应急救援经费保障工作规章。明确相关人员在应急救援经费保障工作中的职责、任务、行动方式、协作办法，形成一套条款详细、操作性强的管理办法，使各部门、各环节在应急救援经费保障中能够相互配合。</w:t>
      </w:r>
    </w:p>
    <w:p w14:paraId="06BA0EE9">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681" w:name="_Toc12129"/>
      <w:bookmarkStart w:id="682" w:name="_Toc25955"/>
      <w:bookmarkStart w:id="683" w:name="_Toc9930"/>
      <w:bookmarkStart w:id="684" w:name="_Toc22883"/>
      <w:bookmarkStart w:id="685" w:name="_Toc28858"/>
      <w:bookmarkStart w:id="686" w:name="_Toc7873"/>
      <w:bookmarkStart w:id="687" w:name="_Toc4122"/>
      <w:r>
        <w:rPr>
          <w:rFonts w:ascii="Times New Roman" w:hAnsi="Times New Roman" w:eastAsia="Times New Roman" w:cs="Times New Roman"/>
          <w:b/>
          <w:bCs/>
          <w:color w:val="auto"/>
          <w:spacing w:val="0"/>
          <w:w w:val="100"/>
          <w:position w:val="0"/>
          <w:sz w:val="28"/>
          <w:szCs w:val="28"/>
          <w:highlight w:val="none"/>
        </w:rPr>
        <w:t>3.5</w:t>
      </w:r>
      <w:r>
        <w:rPr>
          <w:rFonts w:ascii="仿宋" w:hAnsi="仿宋" w:eastAsia="仿宋" w:cs="仿宋"/>
          <w:b/>
          <w:bCs/>
          <w:color w:val="auto"/>
          <w:spacing w:val="0"/>
          <w:w w:val="100"/>
          <w:position w:val="0"/>
          <w:sz w:val="28"/>
          <w:szCs w:val="28"/>
          <w:highlight w:val="none"/>
        </w:rPr>
        <w:t>科技支撑</w:t>
      </w:r>
      <w:bookmarkEnd w:id="681"/>
      <w:bookmarkEnd w:id="682"/>
      <w:bookmarkEnd w:id="683"/>
      <w:bookmarkEnd w:id="684"/>
      <w:bookmarkEnd w:id="685"/>
      <w:bookmarkEnd w:id="686"/>
      <w:bookmarkEnd w:id="687"/>
    </w:p>
    <w:p w14:paraId="0D7CD03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加强应急监测、动态监控和应急处置的能力，保证环境污染突发事件的有效处置。不断引进新的应急技术、改进应急装备，加强安防设施的管理，为预防和处置突发环境事件提供有力的技术保障；在应急响应状态下，应急救援指挥中心应与当地政府密切配合，及时取得当地环保、公安、医疗、交通、气象等部门的技术支持。</w:t>
      </w:r>
    </w:p>
    <w:p w14:paraId="40F0B1EB">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688" w:name="_Toc15676"/>
      <w:bookmarkStart w:id="689" w:name="_Toc19027"/>
      <w:bookmarkStart w:id="690" w:name="_Toc16885"/>
      <w:bookmarkStart w:id="691" w:name="_Toc4389"/>
      <w:bookmarkStart w:id="692" w:name="_Toc29281"/>
      <w:bookmarkStart w:id="693" w:name="_Toc22496"/>
      <w:bookmarkStart w:id="694" w:name="_Toc8830"/>
      <w:r>
        <w:rPr>
          <w:rFonts w:ascii="Times New Roman" w:hAnsi="Times New Roman" w:eastAsia="Times New Roman" w:cs="Times New Roman"/>
          <w:b/>
          <w:bCs/>
          <w:color w:val="auto"/>
          <w:spacing w:val="0"/>
          <w:w w:val="100"/>
          <w:position w:val="0"/>
          <w:sz w:val="28"/>
          <w:szCs w:val="28"/>
          <w:highlight w:val="none"/>
        </w:rPr>
        <w:t>3.6</w:t>
      </w:r>
      <w:r>
        <w:rPr>
          <w:rFonts w:ascii="仿宋" w:hAnsi="仿宋" w:eastAsia="仿宋" w:cs="仿宋"/>
          <w:b/>
          <w:bCs/>
          <w:color w:val="auto"/>
          <w:spacing w:val="0"/>
          <w:w w:val="100"/>
          <w:position w:val="0"/>
          <w:sz w:val="28"/>
          <w:szCs w:val="28"/>
          <w:highlight w:val="none"/>
        </w:rPr>
        <w:t>应急资料</w:t>
      </w:r>
      <w:bookmarkEnd w:id="688"/>
      <w:bookmarkEnd w:id="689"/>
      <w:bookmarkEnd w:id="690"/>
      <w:bookmarkEnd w:id="691"/>
      <w:bookmarkEnd w:id="692"/>
      <w:bookmarkEnd w:id="693"/>
      <w:bookmarkEnd w:id="694"/>
    </w:p>
    <w:p w14:paraId="0235C5B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应急时可能用到的资料主要有：</w:t>
      </w:r>
    </w:p>
    <w:p w14:paraId="2663D754">
      <w:pPr>
        <w:keepNext w:val="0"/>
        <w:keepLines w:val="0"/>
        <w:pageBreakBefore w:val="0"/>
        <w:widowControl/>
        <w:numPr>
          <w:ilvl w:val="0"/>
          <w:numId w:val="1"/>
        </w:numPr>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水源地范围图及水源地保护区划分图；</w:t>
      </w:r>
    </w:p>
    <w:p w14:paraId="1DB09488">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（2）应急人员联系电话；</w:t>
      </w:r>
    </w:p>
    <w:p w14:paraId="16AFBCA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（3）外部单位联系电话；</w:t>
      </w:r>
    </w:p>
    <w:p w14:paraId="2D62F4B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（4）当地政府部门电话；</w:t>
      </w:r>
    </w:p>
    <w:p w14:paraId="2F7C1C3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（5）突发环境事件应急预案。</w:t>
      </w:r>
    </w:p>
    <w:p w14:paraId="3BCBFD6D">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695" w:name="_Toc25068"/>
      <w:bookmarkStart w:id="696" w:name="_Toc1996"/>
      <w:bookmarkStart w:id="697" w:name="_Toc5850"/>
      <w:bookmarkStart w:id="698" w:name="_Toc10706"/>
      <w:bookmarkStart w:id="699" w:name="_Toc28100"/>
      <w:bookmarkStart w:id="700" w:name="_Toc25939"/>
      <w:bookmarkStart w:id="701" w:name="_Toc12621"/>
      <w:r>
        <w:rPr>
          <w:rFonts w:ascii="Times New Roman" w:hAnsi="Times New Roman" w:eastAsia="Times New Roman" w:cs="Times New Roman"/>
          <w:b/>
          <w:bCs/>
          <w:color w:val="auto"/>
          <w:spacing w:val="0"/>
          <w:w w:val="100"/>
          <w:position w:val="0"/>
          <w:sz w:val="28"/>
          <w:szCs w:val="28"/>
          <w:highlight w:val="none"/>
        </w:rPr>
        <w:t>3.7</w:t>
      </w:r>
      <w:r>
        <w:rPr>
          <w:rFonts w:ascii="仿宋" w:hAnsi="仿宋" w:eastAsia="仿宋" w:cs="仿宋"/>
          <w:b/>
          <w:bCs/>
          <w:color w:val="auto"/>
          <w:spacing w:val="0"/>
          <w:w w:val="100"/>
          <w:position w:val="0"/>
          <w:sz w:val="28"/>
          <w:szCs w:val="28"/>
          <w:highlight w:val="none"/>
        </w:rPr>
        <w:t>制度保障</w:t>
      </w:r>
      <w:bookmarkEnd w:id="695"/>
      <w:bookmarkEnd w:id="696"/>
      <w:bookmarkEnd w:id="697"/>
      <w:bookmarkEnd w:id="698"/>
      <w:bookmarkEnd w:id="699"/>
      <w:bookmarkEnd w:id="700"/>
      <w:bookmarkEnd w:id="701"/>
    </w:p>
    <w:p w14:paraId="6ABB01F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为了确保应急系统正常运转，严格执行以下制度：</w:t>
      </w:r>
    </w:p>
    <w:p w14:paraId="14F7546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（1）巡查制度：水源地管理部门制定详细的巡查</w:t>
      </w:r>
      <w:r>
        <w:rPr>
          <w:rFonts w:hint="eastAsia" w:ascii="仿宋" w:hAnsi="仿宋" w:eastAsia="仿宋" w:cs="仿宋"/>
          <w:color w:val="auto"/>
          <w:spacing w:val="0"/>
          <w:w w:val="100"/>
          <w:position w:val="0"/>
          <w:sz w:val="28"/>
          <w:szCs w:val="28"/>
          <w:highlight w:val="none"/>
          <w:lang w:eastAsia="zh-CN"/>
        </w:rPr>
        <w:t>制度</w:t>
      </w:r>
      <w:r>
        <w:rPr>
          <w:rFonts w:ascii="仿宋" w:hAnsi="仿宋" w:eastAsia="仿宋" w:cs="仿宋"/>
          <w:color w:val="auto"/>
          <w:spacing w:val="0"/>
          <w:w w:val="100"/>
          <w:position w:val="0"/>
          <w:sz w:val="28"/>
          <w:szCs w:val="28"/>
          <w:highlight w:val="none"/>
        </w:rPr>
        <w:t>，特别是夜间巡查；</w:t>
      </w:r>
    </w:p>
    <w:p w14:paraId="31F0E94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（2）检查制度：结合日常检查，检查应急工作落实情况及器具保管情况；</w:t>
      </w:r>
    </w:p>
    <w:p w14:paraId="6D7F099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（3）例会制度：在</w:t>
      </w:r>
      <w:r>
        <w:rPr>
          <w:rFonts w:hint="eastAsia" w:ascii="仿宋" w:hAnsi="仿宋" w:eastAsia="仿宋" w:cs="仿宋"/>
          <w:color w:val="auto"/>
          <w:spacing w:val="0"/>
          <w:w w:val="100"/>
          <w:position w:val="0"/>
          <w:sz w:val="28"/>
          <w:szCs w:val="28"/>
          <w:highlight w:val="none"/>
          <w:lang w:eastAsia="zh-CN"/>
        </w:rPr>
        <w:t>每季度</w:t>
      </w:r>
      <w:r>
        <w:rPr>
          <w:rFonts w:ascii="仿宋" w:hAnsi="仿宋" w:eastAsia="仿宋" w:cs="仿宋"/>
          <w:color w:val="auto"/>
          <w:spacing w:val="0"/>
          <w:w w:val="100"/>
          <w:position w:val="0"/>
          <w:sz w:val="28"/>
          <w:szCs w:val="28"/>
          <w:highlight w:val="none"/>
        </w:rPr>
        <w:t>安全环保工作例会上，要研究改进应急救援工作；</w:t>
      </w:r>
    </w:p>
    <w:p w14:paraId="2E827FC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（4）总结评比制度：与安全环保工作同检查、同讲评、同表彰奖励。</w:t>
      </w:r>
    </w:p>
    <w:p w14:paraId="5A915F88">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0"/>
        <w:rPr>
          <w:rFonts w:ascii="宋体" w:hAnsi="宋体" w:eastAsia="宋体" w:cs="宋体"/>
          <w:color w:val="auto"/>
          <w:spacing w:val="0"/>
          <w:w w:val="100"/>
          <w:position w:val="0"/>
          <w:sz w:val="31"/>
          <w:szCs w:val="31"/>
          <w:highlight w:val="none"/>
        </w:rPr>
      </w:pPr>
      <w:bookmarkStart w:id="702" w:name="_Toc13452"/>
      <w:bookmarkStart w:id="703" w:name="_Toc31422"/>
      <w:bookmarkStart w:id="704" w:name="_Toc29041"/>
      <w:bookmarkStart w:id="705" w:name="_Toc6680"/>
      <w:bookmarkStart w:id="706" w:name="_Toc7483"/>
      <w:bookmarkStart w:id="707" w:name="_Toc7942"/>
      <w:bookmarkStart w:id="708" w:name="_Toc24082"/>
      <w:r>
        <w:rPr>
          <w:rFonts w:ascii="Times New Roman" w:hAnsi="Times New Roman" w:eastAsia="Times New Roman" w:cs="Times New Roman"/>
          <w:b/>
          <w:bCs/>
          <w:color w:val="auto"/>
          <w:spacing w:val="0"/>
          <w:w w:val="100"/>
          <w:position w:val="0"/>
          <w:sz w:val="31"/>
          <w:szCs w:val="31"/>
          <w:highlight w:val="none"/>
        </w:rPr>
        <w:t>4</w:t>
      </w:r>
      <w:r>
        <w:rPr>
          <w:rFonts w:ascii="宋体" w:hAnsi="宋体" w:eastAsia="宋体" w:cs="宋体"/>
          <w:b/>
          <w:bCs/>
          <w:color w:val="auto"/>
          <w:spacing w:val="0"/>
          <w:w w:val="100"/>
          <w:position w:val="0"/>
          <w:sz w:val="31"/>
          <w:szCs w:val="31"/>
          <w:highlight w:val="none"/>
        </w:rPr>
        <w:t>存在的问题和完善建议</w:t>
      </w:r>
      <w:bookmarkEnd w:id="702"/>
      <w:bookmarkEnd w:id="703"/>
      <w:bookmarkEnd w:id="704"/>
      <w:bookmarkEnd w:id="705"/>
      <w:bookmarkEnd w:id="706"/>
      <w:bookmarkEnd w:id="707"/>
      <w:bookmarkEnd w:id="708"/>
    </w:p>
    <w:p w14:paraId="51752FC1">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709" w:name="_Toc15562"/>
      <w:bookmarkStart w:id="710" w:name="_Toc21929"/>
      <w:bookmarkStart w:id="711" w:name="_Toc19320"/>
      <w:bookmarkStart w:id="712" w:name="_Toc24658"/>
      <w:bookmarkStart w:id="713" w:name="_Toc14248"/>
      <w:bookmarkStart w:id="714" w:name="_Toc31883"/>
      <w:bookmarkStart w:id="715" w:name="_Toc25714"/>
      <w:r>
        <w:rPr>
          <w:rFonts w:ascii="Times New Roman" w:hAnsi="Times New Roman" w:eastAsia="Times New Roman" w:cs="Times New Roman"/>
          <w:b/>
          <w:bCs/>
          <w:color w:val="auto"/>
          <w:spacing w:val="0"/>
          <w:w w:val="100"/>
          <w:position w:val="0"/>
          <w:sz w:val="28"/>
          <w:szCs w:val="28"/>
          <w:highlight w:val="none"/>
        </w:rPr>
        <w:t>4.1</w:t>
      </w:r>
      <w:r>
        <w:rPr>
          <w:rFonts w:ascii="仿宋" w:hAnsi="仿宋" w:eastAsia="仿宋" w:cs="仿宋"/>
          <w:b/>
          <w:bCs/>
          <w:color w:val="auto"/>
          <w:spacing w:val="0"/>
          <w:w w:val="100"/>
          <w:position w:val="0"/>
          <w:sz w:val="28"/>
          <w:szCs w:val="28"/>
          <w:highlight w:val="none"/>
        </w:rPr>
        <w:t>存在的问题</w:t>
      </w:r>
      <w:bookmarkEnd w:id="709"/>
      <w:bookmarkEnd w:id="710"/>
      <w:bookmarkEnd w:id="711"/>
      <w:bookmarkEnd w:id="712"/>
      <w:bookmarkEnd w:id="713"/>
      <w:bookmarkEnd w:id="714"/>
      <w:bookmarkEnd w:id="715"/>
    </w:p>
    <w:p w14:paraId="41231596">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仿宋" w:hAnsi="仿宋" w:eastAsia="仿宋" w:cs="仿宋"/>
          <w:color w:val="auto"/>
          <w:spacing w:val="0"/>
          <w:w w:val="100"/>
          <w:position w:val="0"/>
          <w:sz w:val="28"/>
          <w:szCs w:val="28"/>
          <w:highlight w:val="none"/>
        </w:rPr>
      </w:pPr>
      <w:r>
        <w:rPr>
          <w:rFonts w:ascii="Times New Roman" w:hAnsi="Times New Roman" w:eastAsia="Times New Roman" w:cs="Times New Roman"/>
          <w:b/>
          <w:bCs/>
          <w:color w:val="auto"/>
          <w:spacing w:val="0"/>
          <w:w w:val="100"/>
          <w:position w:val="0"/>
          <w:sz w:val="28"/>
          <w:szCs w:val="28"/>
          <w:highlight w:val="none"/>
        </w:rPr>
        <w:t>4.1.1</w:t>
      </w:r>
      <w:r>
        <w:rPr>
          <w:rFonts w:ascii="仿宋" w:hAnsi="仿宋" w:eastAsia="仿宋" w:cs="仿宋"/>
          <w:b/>
          <w:bCs/>
          <w:color w:val="auto"/>
          <w:spacing w:val="0"/>
          <w:w w:val="100"/>
          <w:position w:val="0"/>
          <w:sz w:val="28"/>
          <w:szCs w:val="28"/>
          <w:highlight w:val="none"/>
        </w:rPr>
        <w:t>应急管理体制存在的问题</w:t>
      </w:r>
    </w:p>
    <w:p w14:paraId="4336D3A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应急管理体制工作的诸多方面不够适应，表现在应急预案体系仍不完善，预案覆盖面不全，过于原则化，针对性、可操作性不强，特别是上下对应、左右衔接不到位，预案的宣传、培训和演练仍存在不足。</w:t>
      </w:r>
    </w:p>
    <w:p w14:paraId="48FC19C5">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ascii="仿宋" w:hAnsi="仿宋" w:eastAsia="仿宋" w:cs="仿宋"/>
          <w:color w:val="auto"/>
          <w:spacing w:val="0"/>
          <w:w w:val="100"/>
          <w:position w:val="0"/>
          <w:sz w:val="28"/>
          <w:szCs w:val="28"/>
          <w:highlight w:val="none"/>
        </w:rPr>
      </w:pPr>
      <w:r>
        <w:rPr>
          <w:rFonts w:ascii="Times New Roman" w:hAnsi="Times New Roman" w:eastAsia="Times New Roman" w:cs="Times New Roman"/>
          <w:b/>
          <w:bCs/>
          <w:color w:val="auto"/>
          <w:spacing w:val="0"/>
          <w:w w:val="100"/>
          <w:position w:val="0"/>
          <w:sz w:val="28"/>
          <w:szCs w:val="28"/>
          <w:highlight w:val="none"/>
        </w:rPr>
        <w:t>4.1.2</w:t>
      </w:r>
      <w:r>
        <w:rPr>
          <w:rFonts w:ascii="仿宋" w:hAnsi="仿宋" w:eastAsia="仿宋" w:cs="仿宋"/>
          <w:b/>
          <w:bCs/>
          <w:color w:val="auto"/>
          <w:spacing w:val="0"/>
          <w:w w:val="100"/>
          <w:position w:val="0"/>
          <w:sz w:val="28"/>
          <w:szCs w:val="28"/>
          <w:highlight w:val="none"/>
        </w:rPr>
        <w:t>救援协调能力不足</w:t>
      </w:r>
    </w:p>
    <w:p w14:paraId="13079810">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救援队伍为乌翠区政府及下属各部门，由于各部门平时均较忙，仅在发生环境风险事故时紧急组建应急救援组，各救援部门之间缺少磨合，难以短时间内同步协调。</w:t>
      </w:r>
    </w:p>
    <w:p w14:paraId="624F7DDE">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ascii="仿宋" w:hAnsi="仿宋" w:eastAsia="仿宋" w:cs="仿宋"/>
          <w:color w:val="auto"/>
          <w:spacing w:val="0"/>
          <w:w w:val="100"/>
          <w:position w:val="0"/>
          <w:sz w:val="28"/>
          <w:szCs w:val="28"/>
          <w:highlight w:val="none"/>
        </w:rPr>
      </w:pPr>
      <w:bookmarkStart w:id="716" w:name="_Toc17586"/>
      <w:bookmarkStart w:id="717" w:name="_Toc27210"/>
      <w:bookmarkStart w:id="718" w:name="_Toc9590"/>
      <w:bookmarkStart w:id="719" w:name="_Toc14567"/>
      <w:bookmarkStart w:id="720" w:name="_Toc23983"/>
      <w:bookmarkStart w:id="721" w:name="_Toc22094"/>
      <w:bookmarkStart w:id="722" w:name="_Toc21224"/>
      <w:r>
        <w:rPr>
          <w:rFonts w:ascii="Times New Roman" w:hAnsi="Times New Roman" w:eastAsia="Times New Roman" w:cs="Times New Roman"/>
          <w:b/>
          <w:bCs/>
          <w:color w:val="auto"/>
          <w:spacing w:val="0"/>
          <w:w w:val="100"/>
          <w:position w:val="0"/>
          <w:sz w:val="28"/>
          <w:szCs w:val="28"/>
          <w:highlight w:val="none"/>
        </w:rPr>
        <w:t>4.2</w:t>
      </w:r>
      <w:r>
        <w:rPr>
          <w:rFonts w:ascii="仿宋" w:hAnsi="仿宋" w:eastAsia="仿宋" w:cs="仿宋"/>
          <w:b/>
          <w:bCs/>
          <w:color w:val="auto"/>
          <w:spacing w:val="0"/>
          <w:w w:val="100"/>
          <w:position w:val="0"/>
          <w:sz w:val="28"/>
          <w:szCs w:val="28"/>
          <w:highlight w:val="none"/>
        </w:rPr>
        <w:t>检查维护制度</w:t>
      </w:r>
      <w:bookmarkEnd w:id="716"/>
      <w:bookmarkEnd w:id="717"/>
      <w:bookmarkEnd w:id="718"/>
      <w:bookmarkEnd w:id="719"/>
      <w:bookmarkEnd w:id="720"/>
      <w:bookmarkEnd w:id="721"/>
      <w:bookmarkEnd w:id="722"/>
    </w:p>
    <w:p w14:paraId="4E496A6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firstLineChars="200"/>
        <w:jc w:val="both"/>
        <w:textAlignment w:val="baseline"/>
        <w:rPr>
          <w:rFonts w:ascii="仿宋" w:hAnsi="仿宋" w:eastAsia="仿宋" w:cs="仿宋"/>
          <w:color w:val="auto"/>
          <w:spacing w:val="0"/>
          <w:w w:val="100"/>
          <w:position w:val="0"/>
          <w:sz w:val="28"/>
          <w:szCs w:val="28"/>
          <w:highlight w:val="none"/>
        </w:rPr>
      </w:pPr>
      <w:r>
        <w:rPr>
          <w:rFonts w:ascii="仿宋" w:hAnsi="仿宋" w:eastAsia="仿宋" w:cs="仿宋"/>
          <w:color w:val="auto"/>
          <w:spacing w:val="0"/>
          <w:w w:val="100"/>
          <w:position w:val="0"/>
          <w:sz w:val="28"/>
          <w:szCs w:val="28"/>
          <w:highlight w:val="none"/>
        </w:rPr>
        <w:t>根据应急物资和装备，包括环境风险防控硬件设施的存放要求和维护保养要求，在有效期内</w:t>
      </w:r>
      <w:r>
        <w:rPr>
          <w:rFonts w:hint="eastAsia" w:ascii="仿宋" w:hAnsi="仿宋" w:eastAsia="仿宋" w:cs="仿宋"/>
          <w:color w:val="auto"/>
          <w:spacing w:val="0"/>
          <w:w w:val="100"/>
          <w:position w:val="0"/>
          <w:sz w:val="28"/>
          <w:szCs w:val="28"/>
          <w:highlight w:val="none"/>
          <w:lang w:eastAsia="zh-CN"/>
        </w:rPr>
        <w:t>制定</w:t>
      </w:r>
      <w:r>
        <w:rPr>
          <w:rFonts w:ascii="仿宋" w:hAnsi="仿宋" w:eastAsia="仿宋" w:cs="仿宋"/>
          <w:color w:val="auto"/>
          <w:spacing w:val="0"/>
          <w:w w:val="100"/>
          <w:position w:val="0"/>
          <w:sz w:val="28"/>
          <w:szCs w:val="28"/>
          <w:highlight w:val="none"/>
        </w:rPr>
        <w:t>检查有无故障或损坏的制度，具体到人和检查的频率和内容。确保应急物资可以正常使用。</w:t>
      </w:r>
    </w:p>
    <w:sectPr>
      <w:headerReference r:id="rId17" w:type="default"/>
      <w:pgSz w:w="11907" w:h="16839"/>
      <w:pgMar w:top="1440" w:right="1800" w:bottom="1440" w:left="1800" w:header="0" w:footer="811"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ABB17">
    <w:pPr>
      <w:spacing w:line="223"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4264B">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244264B">
                    <w:pPr>
                      <w:pStyle w:val="5"/>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D4AAF">
    <w:pPr>
      <w:spacing w:line="223"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480E9">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3B480E9">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6C8F">
    <w:pPr>
      <w:pStyle w:val="3"/>
      <w:spacing w:line="14" w:lineRule="auto"/>
      <w:rPr>
        <w:sz w:val="2"/>
      </w:rPr>
    </w:pPr>
    <w:r>
      <w:rPr>
        <w:sz w:val="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7E15C2">
                          <w:pPr>
                            <w:pStyle w:val="5"/>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3A7E15C2">
                    <w:pPr>
                      <w:pStyle w:val="5"/>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8E6CC">
    <w:pPr>
      <w:spacing w:line="230" w:lineRule="auto"/>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28A6B">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4AA28A6B">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C657E">
    <w:pPr>
      <w:spacing w:line="229" w:lineRule="auto"/>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A8CCC5">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71A8CCC5">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880F9">
    <w:pPr>
      <w:spacing w:line="229" w:lineRule="auto"/>
      <w:ind w:left="4450"/>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EBD32">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3EEBD32">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7A41F">
    <w:pPr>
      <w:spacing w:line="229" w:lineRule="auto"/>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885D2">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EB885D2">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198F2">
    <w:pPr>
      <w:spacing w:line="229" w:lineRule="auto"/>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415FCB">
                          <w:pPr>
                            <w:pStyle w:val="5"/>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9415FCB">
                    <w:pPr>
                      <w:pStyle w:val="5"/>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EB22D">
    <w:pPr>
      <w:spacing w:line="229" w:lineRule="auto"/>
      <w:ind w:left="4454"/>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9AF8DC">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0C9AF8DC">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B704E">
    <w:pPr>
      <w:spacing w:line="230" w:lineRule="auto"/>
      <w:ind w:left="4441"/>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9329EE">
                          <w:pPr>
                            <w:pStyle w:val="5"/>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09329EE">
                    <w:pPr>
                      <w:pStyle w:val="5"/>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3C935">
    <w:pPr>
      <w:spacing w:line="230" w:lineRule="auto"/>
      <w:ind w:left="4755"/>
      <w:rPr>
        <w:rFonts w:ascii="宋体" w:hAnsi="宋体" w:eastAsia="宋体" w:cs="宋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EC683C">
                          <w:pPr>
                            <w:pStyle w:val="5"/>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4AEC683C">
                    <w:pPr>
                      <w:pStyle w:val="5"/>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3A77">
    <w:pPr>
      <w:pStyle w:val="3"/>
      <w:spacing w:line="14" w:lineRule="auto"/>
      <w:rPr>
        <w:sz w:val="2"/>
      </w:rPr>
    </w:pPr>
    <w:r>
      <w:rPr>
        <w:sz w:val="2"/>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0C767E">
                          <w:pPr>
                            <w:pStyle w:val="5"/>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4E0C767E">
                    <w:pPr>
                      <w:pStyle w:val="5"/>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5DB2E">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C55788"/>
    <w:multiLevelType w:val="singleLevel"/>
    <w:tmpl w:val="4CC5578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9C07583"/>
    <w:rsid w:val="0A5141B6"/>
    <w:rsid w:val="10D71169"/>
    <w:rsid w:val="12456804"/>
    <w:rsid w:val="189901B1"/>
    <w:rsid w:val="18DA1F55"/>
    <w:rsid w:val="1EE027BF"/>
    <w:rsid w:val="212B3AE8"/>
    <w:rsid w:val="21465A33"/>
    <w:rsid w:val="21F53170"/>
    <w:rsid w:val="364D4371"/>
    <w:rsid w:val="45DE7FB9"/>
    <w:rsid w:val="54144FC3"/>
    <w:rsid w:val="541C578F"/>
    <w:rsid w:val="5A885B5A"/>
    <w:rsid w:val="607671AE"/>
    <w:rsid w:val="62DD1002"/>
    <w:rsid w:val="64785961"/>
    <w:rsid w:val="6DC505D8"/>
    <w:rsid w:val="73745356"/>
    <w:rsid w:val="74DF5EF0"/>
    <w:rsid w:val="7B6B05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Title"/>
    <w:basedOn w:val="1"/>
    <w:next w:val="1"/>
    <w:qFormat/>
    <w:uiPriority w:val="10"/>
    <w:pPr>
      <w:spacing w:line="240" w:lineRule="auto"/>
      <w:jc w:val="center"/>
    </w:pPr>
    <w:rPr>
      <w:rFonts w:ascii="Arial" w:hAnsi="Arial" w:eastAsia="宋体" w:cs="Times New Roman"/>
      <w:b/>
      <w:bCs/>
      <w:kern w:val="2"/>
      <w:sz w:val="32"/>
      <w:szCs w:val="32"/>
      <w:lang w:val="en-US" w:eastAsia="zh-C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仿宋_GB2312" w:hAnsi="仿宋_GB2312" w:eastAsia="仿宋_GB2312" w:cs="仿宋_GB2312"/>
      <w:sz w:val="21"/>
      <w:szCs w:val="21"/>
      <w:lang w:val="en-US" w:eastAsia="en-US" w:bidi="ar-SA"/>
    </w:rPr>
  </w:style>
  <w:style w:type="character" w:customStyle="1" w:styleId="15">
    <w:name w:val="font112"/>
    <w:basedOn w:val="12"/>
    <w:qFormat/>
    <w:uiPriority w:val="0"/>
    <w:rPr>
      <w:rFonts w:ascii="宋体" w:hAnsi="宋体" w:eastAsia="宋体" w:cs="宋体"/>
      <w:color w:val="000000"/>
      <w:sz w:val="28"/>
      <w:szCs w:val="28"/>
      <w:u w:val="none"/>
    </w:rPr>
  </w:style>
  <w:style w:type="character" w:customStyle="1" w:styleId="16">
    <w:name w:val="font141"/>
    <w:basedOn w:val="12"/>
    <w:qFormat/>
    <w:uiPriority w:val="0"/>
    <w:rPr>
      <w:rFonts w:ascii="宋体" w:hAnsi="宋体" w:eastAsia="宋体" w:cs="宋体"/>
      <w:color w:val="505050"/>
      <w:sz w:val="28"/>
      <w:szCs w:val="28"/>
      <w:u w:val="none"/>
    </w:rPr>
  </w:style>
  <w:style w:type="character" w:customStyle="1" w:styleId="17">
    <w:name w:val="font151"/>
    <w:basedOn w:val="12"/>
    <w:qFormat/>
    <w:uiPriority w:val="0"/>
    <w:rPr>
      <w:rFonts w:ascii="宋体" w:hAnsi="宋体" w:eastAsia="宋体" w:cs="宋体"/>
      <w:color w:val="706070"/>
      <w:sz w:val="28"/>
      <w:szCs w:val="28"/>
      <w:u w:val="none"/>
    </w:rPr>
  </w:style>
  <w:style w:type="character" w:customStyle="1" w:styleId="18">
    <w:name w:val="font8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ascii="宋体" w:hAnsi="宋体" w:eastAsia="宋体" w:cs="宋体"/>
      <w:color w:val="606060"/>
      <w:sz w:val="28"/>
      <w:szCs w:val="28"/>
      <w:u w:val="none"/>
    </w:rPr>
  </w:style>
  <w:style w:type="character" w:customStyle="1" w:styleId="20">
    <w:name w:val="font161"/>
    <w:basedOn w:val="12"/>
    <w:qFormat/>
    <w:uiPriority w:val="0"/>
    <w:rPr>
      <w:rFonts w:ascii="宋体" w:hAnsi="宋体" w:eastAsia="宋体" w:cs="宋体"/>
      <w:color w:val="80707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header" Target="header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e1ab3954-a1cb-498b-a53a-c79349f7eafa</errorID>
      <errorWord>预案的基础上</errorWord>
      <group>L1_Grammar</group>
      <groupName>语法问题</groupName>
      <ability>L2_Grammar</ability>
      <abilityName>语法错误</abilityName>
      <candidateList>
        <item>预案</item>
      </candidateList>
      <explain/>
      <paraID>790DA62E</paraID>
      <start>172</start>
      <end>178</end>
      <status>ignored</status>
      <modifiedWord/>
      <trackRevisions>false</trackRevisions>
    </reviewItem>
    <reviewItem>
      <errorID>677b6d07-57a2-434f-8ff7-f49f20b3c345</errorID>
      <errorWord>风险进行了分析</errorWord>
      <group>L1_Grammar</group>
      <groupName>语法问题</groupName>
      <ability>L2_Grammar</ability>
      <abilityName>语法错误</abilityName>
      <candidateList>
        <item>风险</item>
      </candidateList>
      <explain/>
      <paraID>139AB221</paraID>
      <start>34</start>
      <end>36</end>
      <status>modified</status>
      <modifiedWord>风险</modifiedWord>
      <trackRevisions>false</trackRevisions>
    </reviewItem>
    <reviewItem>
      <errorID>134ed128-95a2-4a7e-9e9c-2f00bd27ae14</errorID>
      <errorWord>“应急预案”</errorWord>
      <group>L1_Punc</group>
      <groupName>标点问题</groupName>
      <ability>L2_Punc</ability>
      <abilityName>标点符号检查</abilityName>
      <candidateList>
        <item>《应急预案》</item>
      </candidateList>
      <explain/>
      <paraID>573A822E</paraID>
      <start>9</start>
      <end>15</end>
      <status>ignored</status>
      <modifiedWord/>
      <trackRevisions>false</trackRevisions>
    </reviewItem>
    <reviewItem>
      <errorID>2ba7090a-cca0-4377-9964-02e03a85492a</errorID>
      <errorWord>，</errorWord>
      <group>L1_Punc</group>
      <groupName>标点问题</groupName>
      <ability>L2_Punc</ability>
      <abilityName>标点符号检查</abilityName>
      <candidateList>
        <item>。</item>
      </candidateList>
      <explain/>
      <paraID>573A822E</paraID>
      <start>29</start>
      <end>30</end>
      <status>modified</status>
      <modifiedWord>。</modifiedWord>
      <trackRevisions>false</trackRevisions>
    </reviewItem>
    <reviewItem>
      <errorID>98109f99-69c5-43ca-8d1e-df830759a36e</errorID>
      <errorWord>②</errorWord>
      <group>L1_Punc</group>
      <groupName>标点问题</groupName>
      <ability>L2_Punc</ability>
      <abilityName>标点符号检查</abilityName>
      <candidateList>
        <item>；②</item>
      </candidateList>
      <explain/>
      <paraID>573A822E</paraID>
      <start>58</start>
      <end>60</end>
      <status>modified</status>
      <modifiedWord>；②</modifiedWord>
      <trackRevisions>false</trackRevisions>
    </reviewItem>
    <reviewItem>
      <errorID>0768727d-4037-489d-98b9-9cac5da3964b</errorID>
      <errorWord>③</errorWord>
      <group>L1_Punc</group>
      <groupName>标点问题</groupName>
      <ability>L2_Punc</ability>
      <abilityName>标点符号检查</abilityName>
      <candidateList>
        <item>；③</item>
      </candidateList>
      <explain/>
      <paraID>573A822E</paraID>
      <start>73</start>
      <end>75</end>
      <status>modified</status>
      <modifiedWord>；③</modifiedWord>
      <trackRevisions>false</trackRevisions>
    </reviewItem>
    <reviewItem>
      <errorID>6d3a684c-4265-47eb-891f-f1aa999c5b25</errorID>
      <errorWord>②</errorWord>
      <group>L1_Punc</group>
      <groupName>标点问题</groupName>
      <ability>L2_Punc</ability>
      <abilityName>标点符号检查</abilityName>
      <candidateList>
        <item>；②</item>
      </candidateList>
      <explain/>
      <paraID>6006B710</paraID>
      <start>27</start>
      <end>29</end>
      <status>modified</status>
      <modifiedWord>；②</modifiedWord>
      <trackRevisions>false</trackRevisions>
    </reviewItem>
    <reviewItem>
      <errorID>85e59daf-5403-4a07-a3e3-e11abc49e945</errorID>
      <errorWord>③</errorWord>
      <group>L1_Punc</group>
      <groupName>标点问题</groupName>
      <ability>L2_Punc</ability>
      <abilityName>标点符号检查</abilityName>
      <candidateList>
        <item>；③</item>
      </candidateList>
      <explain/>
      <paraID>6006B710</paraID>
      <start>41</start>
      <end>43</end>
      <status>modified</status>
      <modifiedWord>；③</modifiedWord>
      <trackRevisions>false</trackRevisions>
    </reviewItem>
    <reviewItem>
      <errorID>fb743daa-bdd5-44f8-bb78-08ca5202f88d</errorID>
      <errorWord>生活饮用水卫生监督管理办法</errorWord>
      <group>L1_Knowledge</group>
      <groupName>知识性问题</groupName>
      <ability>L2_Knowledge</ability>
      <abilityName>其他知识</abilityName>
      <candidateList/>
      <explain>当前法律法规未收录或尚未生效，注意核查是否正确。</explain>
      <paraID>  5CBAA0</paraID>
      <start>133</start>
      <end>146</end>
      <status>ignored</status>
      <modifiedWord/>
      <trackRevisions>false</trackRevisions>
    </reviewItem>
    <reviewItem>
      <errorID>3a886902-78d1-4032-b6b2-216b25e4a89d</errorID>
      <errorWord>区域内</errorWord>
      <group>L1_Word</group>
      <groupName>字词问题</groupName>
      <ability>L2_Typo</ability>
      <abilityName>字词错误</abilityName>
      <candidateList>
        <item>区域</item>
      </candidateList>
      <explain/>
      <paraID>3E9282CB</paraID>
      <start>13</start>
      <end>16</end>
      <status>ignored</status>
      <modifiedWord/>
      <trackRevisions>false</trackRevisions>
    </reviewItem>
    <reviewItem>
      <errorID>63969eb8-029e-4e6c-90a6-8a2756245337</errorID>
      <errorWord>，</errorWord>
      <group>L1_Grammar</group>
      <groupName>语法问题</groupName>
      <ability>L2_Grammar</ability>
      <abilityName>语法错误</abilityName>
      <candidateList>
        <item>并开展工作，</item>
      </candidateList>
      <explain/>
      <paraID> A7DF84C</paraID>
      <start>26</start>
      <end>27</end>
      <status>ignored</status>
      <modifiedWord/>
      <trackRevisions>false</trackRevisions>
    </reviewItem>
    <reviewItem>
      <errorID>56bc5d87-4704-4a57-abbf-3875f4d890bb</errorID>
      <errorWord>。</errorWord>
      <group>L1_Punc</group>
      <groupName>标点问题</groupName>
      <ability>L2_Punc</ability>
      <abilityName>标点符号检查</abilityName>
      <candidateList>
        <item>，</item>
      </candidateList>
      <explain/>
      <paraID>7A94D3D3</paraID>
      <start>20</start>
      <end>21</end>
      <status>modified</status>
      <modifiedWord>，</modifiedWord>
      <trackRevisions>false</trackRevisions>
    </reviewItem>
    <reviewItem>
      <errorID>71ef67d2-2de4-4da9-ac41-194a59f1b192</errorID>
      <errorWord>社会及时准确</errorWord>
      <group>L1_Grammar</group>
      <groupName>语法问题</groupName>
      <ability>L2_Grammar</ability>
      <abilityName>语法错误</abilityName>
      <candidateList>
        <item>社会</item>
      </candidateList>
      <explain/>
      <paraID>28C0A522</paraID>
      <start>65</start>
      <end>71</end>
      <status>ignored</status>
      <modifiedWord/>
      <trackRevisions>false</trackRevisions>
    </reviewItem>
    <reviewItem>
      <errorID>c3f51d13-0dc5-4973-acf0-31ecfc2c450b</errorID>
      <errorWord>的</errorWord>
      <group>L1_Word</group>
      <groupName>字词问题</groupName>
      <ability>L2_Typo</ability>
      <abilityName>字词错误</abilityName>
      <candidateList>
        <item>时</item>
      </candidateList>
      <explain/>
      <paraID>3125C66C</paraID>
      <start>9</start>
      <end>10</end>
      <status>ignored</status>
      <modifiedWord/>
      <trackRevisions>false</trackRevisions>
    </reviewItem>
    <reviewItem>
      <errorID>fe9eca2b-ecc9-42a4-a939-6cf09c83aa47</errorID>
      <errorWord>，</errorWord>
      <group>L1_Punc</group>
      <groupName>标点问题</groupName>
      <ability>L2_Punc</ability>
      <abilityName>标点符号检查</abilityName>
      <candidateList>
        <item>；</item>
      </candidateList>
      <explain/>
      <paraID>  FF073F</paraID>
      <start>5</start>
      <end>6</end>
      <status>ignored</status>
      <modifiedWord/>
      <trackRevisions>false</trackRevisions>
    </reviewItem>
    <reviewItem>
      <errorID>bbd4e8da-a4da-4f41-b81d-032ade8182fa</errorID>
      <errorWord>通讯</errorWord>
      <group>L1_Word</group>
      <groupName>字词问题</groupName>
      <ability>L2_Typo</ability>
      <abilityName>字词错误</abilityName>
      <candidateList>
        <item>通信</item>
      </candidateList>
      <explain/>
      <paraID>766829BE</paraID>
      <start>3</start>
      <end>5</end>
      <status>ignored</status>
      <modifiedWord/>
      <trackRevisions>false</trackRevisions>
    </reviewItem>
    <reviewItem>
      <errorID>2ef9fbcc-f9d5-4974-8315-b0e83171d9b7</errorID>
      <errorWord>通讯联络</errorWord>
      <group>L1_Word</group>
      <groupName>字词问题</groupName>
      <ability>L2_Typo</ability>
      <abilityName>字词错误</abilityName>
      <candidateList>
        <item>通信联络</item>
      </candidateList>
      <explain/>
      <paraID>25C8CA3D</paraID>
      <start>15</start>
      <end>19</end>
      <status>ignored</status>
      <modifiedWord/>
      <trackRevisions>false</trackRevisions>
    </reviewItem>
    <reviewItem>
      <errorID>f00e7a3e-6caf-4c1c-846f-d60c70f61bb8</errorID>
      <errorWord>加强</errorWord>
      <group>L1_Word</group>
      <groupName>字词问题</groupName>
      <ability>L2_Typo</ability>
      <abilityName>字词错误</abilityName>
      <candidateList>
        <item>提升</item>
      </candidateList>
      <explain/>
      <paraID>12A63370</paraID>
      <start>23</start>
      <end>25</end>
      <status>modified</status>
      <modifiedWord>提升</modifiedWord>
      <trackRevisions>false</trackRevisions>
    </reviewItem>
    <reviewItem>
      <errorID>7eb6715d-6df0-46b3-b934-465dc5ba3ed3</errorID>
      <errorWord>水源地</errorWord>
      <group>L1_Word</group>
      <groupName>字词问题</groupName>
      <ability>L2_Typo</ability>
      <abilityName>字词错误</abilityName>
      <candidateList>
        <item>受水源地</item>
      </candidateList>
      <explain/>
      <paraID>5223391A</paraID>
      <start>42</start>
      <end>46</end>
      <status>modified</status>
      <modifiedWord>受水源地</modifiedWord>
      <trackRevisions>false</trackRevisions>
    </reviewItem>
    <reviewItem>
      <errorID>414ba400-4b82-4214-88a2-1fda560b54f5</errorID>
      <errorWord>事件发生和</errorWord>
      <group>L1_Grammar</group>
      <groupName>语法问题</groupName>
      <ability>L2_Grammar</ability>
      <abilityName>语法错误</abilityName>
      <candidateList>
        <item>事件</item>
      </candidateList>
      <explain/>
      <paraID>5223391A</paraID>
      <start>50</start>
      <end>52</end>
      <status>modified</status>
      <modifiedWord>事件</modifiedWord>
      <trackRevisions>false</trackRevisions>
    </reviewItem>
    <reviewItem>
      <errorID>f5ae82a1-c00a-4881-a8a3-bd485bf2edf4</errorID>
      <errorWord>的</errorWord>
      <group>L1_Word</group>
      <groupName>字词问题</groupName>
      <ability>L2_Typo</ability>
      <abilityName>字词错误</abilityName>
      <candidateList>
        <item>内的</item>
      </candidateList>
      <explain/>
      <paraID>5223391A</paraID>
      <start>56</start>
      <end>58</end>
      <status>modified</status>
      <modifiedWord>内的</modifiedWord>
      <trackRevisions>false</trackRevisions>
    </reviewItem>
    <reviewItem>
      <errorID>cbafe0a7-7e00-4e57-ba4c-32a026a89a90</errorID>
      <errorWord>事件</errorWord>
      <group>L1_Grammar</group>
      <groupName>语法问题</groupName>
      <ability>L2_Grammar</ability>
      <abilityName>语法错误</abilityName>
      <candidateList>
        <item>突发环境事件</item>
      </candidateList>
      <explain/>
      <paraID>14B2D74C</paraID>
      <start>120</start>
      <end>126</end>
      <status>modified</status>
      <modifiedWord>突发环境事件</modifiedWord>
      <trackRevisions>false</trackRevisions>
    </reviewItem>
    <reviewItem>
      <errorID>518eff20-3b71-4457-98cd-3ed9cdd7b57f</errorID>
      <errorWord>限值的要求</errorWord>
      <group>L1_Grammar</group>
      <groupName>语法问题</groupName>
      <ability>L2_Grammar</ability>
      <abilityName>语法错误</abilityName>
      <candidateList>
        <item>限值</item>
      </candidateList>
      <explain/>
      <paraID>2A6A7398</paraID>
      <start>31</start>
      <end>33</end>
      <status>modified</status>
      <modifiedWord>限值</modifiedWord>
      <trackRevisions>false</trackRevisions>
    </reviewItem>
    <reviewItem>
      <errorID>db0b6c23-e6bd-4c1f-8c80-9f7039099dbb</errorID>
      <errorWord>的事件</errorWord>
      <group>L1_Grammar</group>
      <groupName>语法问题</groupName>
      <ability>L2_Grammar</ability>
      <abilityName>语法错误</abilityName>
      <candidateList>
        <item>环境事件的违法行为</item>
      </candidateList>
      <explain/>
      <paraID> 88E4C56</paraID>
      <start>12</start>
      <end>15</end>
      <status>ignored</status>
      <modifiedWord/>
      <trackRevisions>false</trackRevisions>
    </reviewItem>
    <reviewItem>
      <errorID>ca41b9e0-b3c5-421a-808e-dde9f0776dd8</errorID>
      <errorWord>预警和防控能力，做好饮用水源地突发环境事件的防控工作，及时、有效、科学地处置饮用水源地突发环境事件，最大限度减少环境污染造成的危害，确保公众饮水安全具有重要的意义</errorWord>
      <group>L1_Political</group>
      <groupName>政治性问题</groupName>
      <ability>L2_Keyword</ability>
      <abilityName>固定表述</abilityName>
      <candidateList>
        <item>的预警和防控能力，做好饮用水源地突发环境事件的防控工作，及时、有效、科学地处置饮用水源地突发环境事件，最大限度减少环境污染造成的危害，确保公众饮水安全具有重要意义</item>
      </candidateList>
      <explain>此处内容疑似含有固定表述相关错误，建议核查。</explain>
      <paraID>7CE0A494</paraID>
      <start>150</start>
      <end>231</end>
      <status>modified</status>
      <modifiedWord>的预警和防控能力，做好饮用水源地突发环境事件的防控工作，及时、有效、科学地处置饮用水源地突发环境事件，最大限度减少环境污染造成的危害，确保公众饮水安全具有重要意义</modifiedWord>
      <trackRevisions>false</trackRevisions>
    </reviewItem>
    <reviewItem>
      <errorID>b196e9e3-466d-40ad-bdb8-1eb779e89859</errorID>
      <errorWord>。</errorWord>
      <group>L1_Punc</group>
      <groupName>标点问题</groupName>
      <ability>L2_Punc</ability>
      <abilityName>标点符号检查</abilityName>
      <candidateList>
        <item>，</item>
      </candidateList>
      <explain/>
      <paraID>5D4951B1</paraID>
      <start>51</start>
      <end>52</end>
      <status>modified</status>
      <modifiedWord>，</modifiedWord>
      <trackRevisions>false</trackRevisions>
    </reviewItem>
    <reviewItem>
      <errorID>31361764-0fd4-4a51-ad69-3787b2043357</errorID>
      <errorWord>及</errorWord>
      <group>L1_Word</group>
      <groupName>字词问题</groupName>
      <ability>L2_Typo</ability>
      <abilityName>字词错误</abilityName>
      <candidateList>
        <item>、</item>
      </candidateList>
      <explain/>
      <paraID>756C6328</paraID>
      <start>21</start>
      <end>22</end>
      <status>modified</status>
      <modifiedWord>、</modifiedWord>
      <trackRevisions>false</trackRevisions>
    </reviewItem>
    <reviewItem>
      <errorID>c4a9860f-4b9d-4723-bc72-9c32e95c58bb</errorID>
      <errorWord>2021.09.1实施</errorWord>
      <group>L1_Punc</group>
      <groupName>标点问题</groupName>
      <ability>L2_Punc</ability>
      <abilityName>标点符号检查</abilityName>
      <candidateList>
        <item>（2021.09.1实施）</item>
      </candidateList>
      <explain/>
      <paraID>6F815BC3</paraID>
      <start>20</start>
      <end>31</end>
      <status>ignored</status>
      <modifiedWord/>
      <trackRevisions>false</trackRevisions>
    </reviewItem>
    <reviewItem>
      <errorID>bc61b3af-267f-4e8d-becd-58f7836350f6</errorID>
      <errorWord>》</errorWord>
      <group>L1_Grammar</group>
      <groupName>语法问题</groupName>
      <ability>L2_Grammar</ability>
      <abilityName>语法错误</abilityName>
      <candidateList>
        <item>的批复》</item>
      </candidateList>
      <explain/>
      <paraID>502C9866</paraID>
      <start>29</start>
      <end>30</end>
      <status>ignored</status>
      <modifiedWord/>
      <trackRevisions>false</trackRevisions>
    </reviewItem>
    <reviewItem>
      <errorID>7663b0eb-aa80-4e00-a729-27a5de4cdd5d</errorID>
      <errorWord>23准保护区</errorWord>
      <group>L1_Other</group>
      <groupName>其他问题</groupName>
      <ability>L2_Consistency</ability>
      <abilityName>一致性检查</abilityName>
      <candidateList>
        <item>准保护区</item>
      </candidateList>
      <explain>文本中‘23准保护区’可能为排版错误，结合上下文，应统一为‘准保护区’，属于实体一致性问题</explain>
      <paraID>6FCEA1A2</paraID>
      <start>0</start>
      <end>6</end>
      <status>ignored</status>
      <modifiedWord/>
      <trackRevisions>false</trackRevisions>
    </reviewItem>
    <reviewItem>
      <errorID>9acae432-5588-4395-bebc-3521e122bb77</errorID>
      <errorWord>。</errorWord>
      <group>L1_Punc</group>
      <groupName>标点问题</groupName>
      <ability>L2_Punc</ability>
      <abilityName>标点符号检查</abilityName>
      <candidateList>
        <item>，</item>
      </candidateList>
      <explain/>
      <paraID> 631822B</paraID>
      <start>39</start>
      <end>40</end>
      <status>modified</status>
      <modifiedWord>，</modifiedWord>
      <trackRevisions>false</trackRevisions>
    </reviewItem>
    <reviewItem>
      <errorID>e819eb55-93aa-484a-84bb-563c77280faf</errorID>
      <errorWord>有</errorWord>
      <group>L1_Word</group>
      <groupName>字词问题</groupName>
      <ability>L2_Typo</ability>
      <abilityName>字词错误</abilityName>
      <candidateList>
        <item>由</item>
      </candidateList>
      <explain/>
      <paraID>3F7DF83D</paraID>
      <start>13</start>
      <end>14</end>
      <status>ignored</status>
      <modifiedWord/>
      <trackRevisions>false</trackRevisions>
    </reviewItem>
    <reviewItem>
      <errorID>831db48a-604a-4b5d-ac1f-fe73f6e4da78</errorID>
      <errorWord>区域</errorWord>
      <group>L1_Word</group>
      <groupName>字词问题</groupName>
      <ability>L2_Typo</ability>
      <abilityName>字词错误</abilityName>
      <candidateList>
        <item>的区域</item>
      </candidateList>
      <explain/>
      <paraID>173A7DED</paraID>
      <start>4</start>
      <end>6</end>
      <status>ignored</status>
      <modifiedWord/>
      <trackRevisions>false</trackRevisions>
    </reviewItem>
    <reviewItem>
      <errorID>9c66f791-2cd5-48cc-89a8-2862f1594dce</errorID>
      <errorWord>盆地</errorWord>
      <group>L1_Word</group>
      <groupName>字词问题</groupName>
      <ability>L2_Typo</ability>
      <abilityName>字词错误</abilityName>
      <candidateList>
        <item>于盆地</item>
      </candidateList>
      <explain/>
      <paraID>30E57592</paraID>
      <start>14</start>
      <end>16</end>
      <status>ignored</status>
      <modifiedWord/>
      <trackRevisions>false</trackRevisions>
    </reviewItem>
    <reviewItem>
      <errorID>1792e318-42a6-483e-ae71-492152fa0cd8</errorID>
      <errorWord>盆底的</errorWord>
      <group>L1_Word</group>
      <groupName>字词问题</groupName>
      <ability>L2_Typo</ability>
      <abilityName>字词错误</abilityName>
      <candidateList>
        <item>盆底</item>
      </candidateList>
      <explain/>
      <paraID>30E57592</paraID>
      <start>19</start>
      <end>22</end>
      <status>ignored</status>
      <modifiedWord/>
      <trackRevisions>false</trackRevisions>
    </reviewItem>
    <reviewItem>
      <errorID>9c7696fe-2a50-4dcf-a8d1-07b562ad5fb1</errorID>
      <errorWord>，</errorWord>
      <group>L1_Punc</group>
      <groupName>标点问题</groupName>
      <ability>L2_Punc</ability>
      <abilityName>标点符号检查</abilityName>
      <candidateList>
        <item>。</item>
      </candidateList>
      <explain/>
      <paraID>112EC93A</paraID>
      <start>93</start>
      <end>94</end>
      <status>modified</status>
      <modifiedWord>。</modifiedWord>
      <trackRevisions>false</trackRevisions>
    </reviewItem>
    <reviewItem>
      <errorID>a32a3088-7c44-46b6-9654-4b7be95a0eb8</errorID>
      <errorWord>，</errorWord>
      <group>L1_Punc</group>
      <groupName>标点问题</groupName>
      <ability>L2_Punc</ability>
      <abilityName>标点符号检查</abilityName>
      <candidateList>
        <item>；</item>
      </candidateList>
      <explain/>
      <paraID>526553AB</paraID>
      <start>55</start>
      <end>56</end>
      <status>modified</status>
      <modifiedWord>；</modifiedWord>
      <trackRevisions>false</trackRevisions>
    </reviewItem>
    <reviewItem>
      <errorID>44a6fdd4-45b6-4a1a-810a-88245719c5fd</errorID>
      <errorWord>由南北向</errorWord>
      <group>L1_Word</group>
      <groupName>字词问题</groupName>
      <ability>L2_Typo</ability>
      <abilityName>字词错误</abilityName>
      <candidateList>
        <item>由北向南</item>
      </candidateList>
      <explain/>
      <paraID>254FC147</paraID>
      <start>16</start>
      <end>20</end>
      <status>ignored</status>
      <modifiedWord/>
      <trackRevisions>false</trackRevisions>
    </reviewItem>
    <reviewItem>
      <errorID>70fc1fc7-8a36-4912-99c4-981fe2b0e91d</errorID>
      <errorWord>，</errorWord>
      <group>L1_Grammar</group>
      <groupName>语法问题</groupName>
      <ability>L2_Grammar</ability>
      <abilityName>语法错误</abilityName>
      <candidateList>
        <item>，即尖山河和扶育河。</item>
      </candidateList>
      <explain/>
      <paraID>207139A4</paraID>
      <start>113</start>
      <end>114</end>
      <status>ignored</status>
      <modifiedWord/>
      <trackRevisions>false</trackRevisions>
    </reviewItem>
    <reviewItem>
      <errorID>dd0d44a0-3fb9-4aec-b2aa-8fcab96fd6d2</errorID>
      <errorWord>和</errorWord>
      <group>L1_Word</group>
      <groupName>字词问题</groupName>
      <ability>L2_Typo</ability>
      <abilityName>字词错误</abilityName>
      <candidateList>
        <item>与</item>
      </candidateList>
      <explain/>
      <paraID>164B2EDA</paraID>
      <start>55</start>
      <end>56</end>
      <status>ignored</status>
      <modifiedWord/>
      <trackRevisions>false</trackRevisions>
    </reviewItem>
    <reviewItem>
      <errorID>12b9be04-6876-4963-a4bb-9d5b7835e95d</errorID>
      <errorWord>增长</errorWord>
      <group>L1_Word</group>
      <groupName>字词问题</groupName>
      <ability>L2_Typo</ability>
      <abilityName>字词错误</abilityName>
      <candidateList>
        <item>下降</item>
      </candidateList>
      <explain/>
      <paraID>2B2AAF32</paraID>
      <start>117</start>
      <end>119</end>
      <status>ignored</status>
      <modifiedWord/>
      <trackRevisions>false</trackRevisions>
    </reviewItem>
    <reviewItem>
      <errorID>c16a4807-21bf-485b-ae08-ebae3a754bfd</errorID>
      <errorWord>增长</errorWord>
      <group>L1_Word</group>
      <groupName>字词问题</groupName>
      <ability>L2_Typo</ability>
      <abilityName>字词错误</abilityName>
      <candidateList>
        <item>下降</item>
      </candidateList>
      <explain/>
      <paraID>2B2AAF32</paraID>
      <start>177</start>
      <end>179</end>
      <status>ignored</status>
      <modifiedWord/>
      <trackRevisions>false</trackRevisions>
    </reviewItem>
    <reviewItem>
      <errorID>69042e27-b739-44a2-afca-174ef207c51c</errorID>
      <errorWord>与</errorWord>
      <group>L1_Word</group>
      <groupName>字词问题</groupName>
      <ability>L2_Typo</ability>
      <abilityName>字词错误</abilityName>
      <candidateList>
        <item>较</item>
      </candidateList>
      <explain>（較）jiào〈书〉明显：彰明～著｜二者～然不同。</explain>
      <paraID>683D98AC</paraID>
      <start>55</start>
      <end>56</end>
      <status>ignored</status>
      <modifiedWord/>
      <trackRevisions>false</trackRevisions>
    </reviewItem>
    <reviewItem>
      <errorID>335cbe9d-04d8-44a2-8af3-4376eb98ad25</errorID>
      <errorWord>增长</errorWord>
      <group>L1_Word</group>
      <groupName>字词问题</groupName>
      <ability>L2_Typo</ability>
      <abilityName>字词错误</abilityName>
      <candidateList>
        <item>下降</item>
      </candidateList>
      <explain/>
      <paraID>683D98AC</paraID>
      <start>237</start>
      <end>239</end>
      <status>ignored</status>
      <modifiedWord/>
      <trackRevisions>false</trackRevisions>
    </reviewItem>
    <reviewItem>
      <errorID>9616431c-6db4-4057-882b-ffdac1f81cd3</errorID>
      <errorWord>一级</errorWord>
      <group>L1_Word</group>
      <groupName>字词问题</groupName>
      <ability>L2_Typo</ability>
      <abilityName>字词错误</abilityName>
      <candidateList>
        <item>在一级</item>
      </candidateList>
      <explain/>
      <paraID>7E9F450C</paraID>
      <start>87</start>
      <end>89</end>
      <status>ignored</status>
      <modifiedWord/>
      <trackRevisions>false</trackRevisions>
    </reviewItem>
    <reviewItem>
      <errorID>11c0dbc9-e742-4218-a7c4-0e570a1bb33e</errorID>
      <errorWord>和</errorWord>
      <group>L1_Grammar</group>
      <groupName>语法问题</groupName>
      <ability>L2_Grammar</ability>
      <abilityName>语法错误</abilityName>
      <candidateList>
        <item>设施和</item>
      </candidateList>
      <explain/>
      <paraID>7E9F450C</paraID>
      <start>98</start>
      <end>99</end>
      <status>ignored</status>
      <modifiedWord/>
      <trackRevisions>false</trackRevisions>
    </reviewItem>
    <reviewItem>
      <errorID>dd8729b9-38ba-4aeb-8fab-579867486ec6</errorID>
      <errorWord>）</errorWord>
      <group>L1_Grammar</group>
      <groupName>语法问题</groupName>
      <ability>L2_Grammar</ability>
      <abilityName>语法错误</abilityName>
      <candidateList>
        <item>指标）</item>
      </candidateList>
      <explain/>
      <paraID>50E0A333</paraID>
      <start>77</start>
      <end>78</end>
      <status>ignored</status>
      <modifiedWord/>
      <trackRevisions>false</trackRevisions>
    </reviewItem>
    <reviewItem>
      <errorID>b1465f52-c9a0-4d09-a59a-363a6914a7a9</errorID>
      <errorWord>；</errorWord>
      <group>L1_Punc</group>
      <groupName>标点问题</groupName>
      <ability>L2_Punc</ability>
      <abilityName>标点符号检查</abilityName>
      <candidateList>
        <item>，</item>
      </candidateList>
      <explain/>
      <paraID> C958F16</paraID>
      <start>28</start>
      <end>29</end>
      <status>modified</status>
      <modifiedWord>，</modifiedWord>
      <trackRevisions>false</trackRevisions>
    </reviewItem>
    <reviewItem>
      <errorID>e7bea88c-f3b3-403f-a7ac-2b997ca6c33f</errorID>
      <errorWord>，</errorWord>
      <group>L1_Grammar</group>
      <groupName>语法问题</groupName>
      <ability>L2_Grammar</ability>
      <abilityName>语法错误</abilityName>
      <candidateList>
        <item>情况，</item>
      </candidateList>
      <explain/>
      <paraID>41C7153C</paraID>
      <start>11</start>
      <end>12</end>
      <status>ignored</status>
      <modifiedWord/>
      <trackRevisions>false</trackRevisions>
    </reviewItem>
    <reviewItem>
      <errorID>6327f337-1a9b-4d71-ac5a-fffc275bfb6e</errorID>
      <errorWord>加剧</errorWord>
      <group>L1_Word</group>
      <groupName>字词问题</groupName>
      <ability>L2_Typo</ability>
      <abilityName>字词错误</abilityName>
      <candidateList>
        <item>增多</item>
      </candidateList>
      <explain/>
      <paraID>49D10CB1</paraID>
      <start>165</start>
      <end>167</end>
      <status>ignored</status>
      <modifiedWord/>
      <trackRevisions>false</trackRevisions>
    </reviewItem>
    <reviewItem>
      <errorID>7e6703b5-0077-47f6-9267-c95d8d3387b9</errorID>
      <errorWord>中国环境总局</errorWord>
      <group>L1_Grammar</group>
      <groupName>语法问题</groupName>
      <ability>L2_Grammar</ability>
      <abilityName>语法错误</abilityName>
      <candidateList>
        <item>中国环境科学研究院</item>
      </candidateList>
      <explain/>
      <paraID>7030F99C</paraID>
      <start>241</start>
      <end>247</end>
      <status>ignored</status>
      <modifiedWord/>
      <trackRevisions>false</trackRevisions>
    </reviewItem>
    <reviewItem>
      <errorID>ad99d69a-33ff-43b2-b13a-92a96e9eb1d4</errorID>
      <errorWord>后</errorWord>
      <group>L1_Grammar</group>
      <groupName>语法问题</groupName>
      <ability>L2_Grammar</ability>
      <abilityName>语法错误</abilityName>
      <candidateList>
        <item>的情况下</item>
      </candidateList>
      <explain/>
      <paraID>1C92F9C9</paraID>
      <start>64</start>
      <end>65</end>
      <status>ignored</status>
      <modifiedWord/>
      <trackRevisions>false</trackRevisions>
    </reviewItem>
    <reviewItem>
      <errorID>ce0af346-4d6b-4a7b-8105-dcc9f90e0cca</errorID>
      <errorWord>（</errorWord>
      <group>L1_Punc</group>
      <groupName>标点问题</groupName>
      <ability>L2_Punc</ability>
      <abilityName>标点符号检查</abilityName>
      <candidateList>
        <item/>
      </candidateList>
      <explain/>
      <paraID>639BFE57</paraID>
      <start>287</start>
      <end>288</end>
      <status>ignored</status>
      <modifiedWord/>
      <trackRevisions>false</trackRevisions>
    </reviewItem>
    <reviewItem>
      <errorID>a7aa75bb-c804-471a-a284-7294ae5ee6cb</errorID>
      <errorWord>&gt;</errorWord>
      <group>L1_Punc</group>
      <groupName>标点问题</groupName>
      <ability>L2_Punc</ability>
      <abilityName>标点符号检查</abilityName>
      <candidateList/>
      <explain/>
      <paraID>465D33E5</paraID>
      <start>0</start>
      <end>1</end>
      <status>ignored</status>
      <modifiedWord/>
      <trackRevisions>false</trackRevisions>
    </reviewItem>
    <reviewItem>
      <errorID>6c184848-d6ba-47ae-bf31-6a190aaedc48</errorID>
      <errorWord>&gt;</errorWord>
      <group>L1_Punc</group>
      <groupName>标点问题</groupName>
      <ability>L2_Punc</ability>
      <abilityName>标点符号检查</abilityName>
      <candidateList/>
      <explain/>
      <paraID> EC5F61E</paraID>
      <start>0</start>
      <end>1</end>
      <status>ignored</status>
      <modifiedWord/>
      <trackRevisions>false</trackRevisions>
    </reviewItem>
    <reviewItem>
      <errorID>659bf889-db6d-4198-8891-928e6427823a</errorID>
      <errorWord>&gt;</errorWord>
      <group>L1_Punc</group>
      <groupName>标点问题</groupName>
      <ability>L2_Punc</ability>
      <abilityName>标点符号检查</abilityName>
      <candidateList/>
      <explain/>
      <paraID>2C93A691</paraID>
      <start>0</start>
      <end>1</end>
      <status>ignored</status>
      <modifiedWord/>
      <trackRevisions>false</trackRevisions>
    </reviewItem>
    <reviewItem>
      <errorID>9a67aa91-e778-43b1-8fbe-93df1ef342a5</errorID>
      <errorWord>&gt;</errorWord>
      <group>L1_Punc</group>
      <groupName>标点问题</groupName>
      <ability>L2_Punc</ability>
      <abilityName>标点符号检查</abilityName>
      <candidateList/>
      <explain/>
      <paraID>768266B8</paraID>
      <start>0</start>
      <end>1</end>
      <status>ignored</status>
      <modifiedWord/>
      <trackRevisions>false</trackRevisions>
    </reviewItem>
    <reviewItem>
      <errorID>d52e1ec9-3919-4ccd-a14b-8094aa7e523f</errorID>
      <errorWord>&gt;</errorWord>
      <group>L1_Punc</group>
      <groupName>标点问题</groupName>
      <ability>L2_Punc</ability>
      <abilityName>标点符号检查</abilityName>
      <candidateList/>
      <explain/>
      <paraID>13326B38</paraID>
      <start>0</start>
      <end>1</end>
      <status>ignored</status>
      <modifiedWord/>
      <trackRevisions>false</trackRevisions>
    </reviewItem>
    <reviewItem>
      <errorID>0982eb19-e2fb-4b88-9962-76fb605b618e</errorID>
      <errorWord>&gt;</errorWord>
      <group>L1_Punc</group>
      <groupName>标点问题</groupName>
      <ability>L2_Punc</ability>
      <abilityName>标点符号检查</abilityName>
      <candidateList/>
      <explain/>
      <paraID> 8096B7F</paraID>
      <start>0</start>
      <end>1</end>
      <status>ignored</status>
      <modifiedWord/>
      <trackRevisions>false</trackRevisions>
    </reviewItem>
    <reviewItem>
      <errorID>0cd37e60-e459-4f23-bfc7-b5e7c25053d9</errorID>
      <errorWord>&gt;</errorWord>
      <group>L1_Punc</group>
      <groupName>标点问题</groupName>
      <ability>L2_Punc</ability>
      <abilityName>标点符号检查</abilityName>
      <candidateList/>
      <explain/>
      <paraID>21B3388E</paraID>
      <start>0</start>
      <end>1</end>
      <status>ignored</status>
      <modifiedWord/>
      <trackRevisions>false</trackRevisions>
    </reviewItem>
    <reviewItem>
      <errorID>a6acc51d-631f-4f25-ae2d-4c034411fe30</errorID>
      <errorWord>&gt;</errorWord>
      <group>L1_Punc</group>
      <groupName>标点问题</groupName>
      <ability>L2_Punc</ability>
      <abilityName>标点符号检查</abilityName>
      <candidateList/>
      <explain/>
      <paraID>44D712AF</paraID>
      <start>0</start>
      <end>1</end>
      <status>ignored</status>
      <modifiedWord/>
      <trackRevisions>false</trackRevisions>
    </reviewItem>
    <reviewItem>
      <errorID>b3ce66ae-c19e-4178-9b32-49e76b4f57b5</errorID>
      <errorWord>～</errorWord>
      <group>L1_Format</group>
      <groupName>格式问题</groupName>
      <ability>L2_HalfPunc</ability>
      <abilityName>全半角检查</abilityName>
      <candidateList>
        <item>~</item>
      </candidateList>
      <explain>文本全半角错误。</explain>
      <paraID>2D948644</paraID>
      <start>3</start>
      <end>4</end>
      <status>ignored</status>
      <modifiedWord/>
      <trackRevisions>false</trackRevisions>
    </reviewItem>
    <reviewItem>
      <errorID>6b71642b-be35-4070-a008-e0fd57cf2f2a</errorID>
      <errorWord>～</errorWord>
      <group>L1_Format</group>
      <groupName>格式问题</groupName>
      <ability>L2_HalfPunc</ability>
      <abilityName>全半角检查</abilityName>
      <candidateList>
        <item>~</item>
      </candidateList>
      <explain>文本全半角错误。</explain>
      <paraID>53F24929</paraID>
      <start>3</start>
      <end>4</end>
      <status>ignored</status>
      <modifiedWord/>
      <trackRevisions>false</trackRevisions>
    </reviewItem>
    <reviewItem>
      <errorID>530f79d6-b779-4bc3-9ed8-e6ecc696bb99</errorID>
      <errorWord>～</errorWord>
      <group>L1_Format</group>
      <groupName>格式问题</groupName>
      <ability>L2_HalfPunc</ability>
      <abilityName>全半角检查</abilityName>
      <candidateList>
        <item>~</item>
      </candidateList>
      <explain>文本全半角错误。</explain>
      <paraID> D66D68E</paraID>
      <start>3</start>
      <end>4</end>
      <status>ignored</status>
      <modifiedWord/>
      <trackRevisions>false</trackRevisions>
    </reviewItem>
    <reviewItem>
      <errorID>8d040b41-9da4-45a6-804f-221db7f009a5</errorID>
      <errorWord>～</errorWord>
      <group>L1_Format</group>
      <groupName>格式问题</groupName>
      <ability>L2_HalfPunc</ability>
      <abilityName>全半角检查</abilityName>
      <candidateList>
        <item>~</item>
      </candidateList>
      <explain>文本全半角错误。</explain>
      <paraID>4C5A4A22</paraID>
      <start>3</start>
      <end>4</end>
      <status>ignored</status>
      <modifiedWord/>
      <trackRevisions>false</trackRevisions>
    </reviewItem>
    <reviewItem>
      <errorID>7116d982-8ebe-465c-9ba1-5b0d4cebea9f</errorID>
      <errorWord>～</errorWord>
      <group>L1_Format</group>
      <groupName>格式问题</groupName>
      <ability>L2_HalfPunc</ability>
      <abilityName>全半角检查</abilityName>
      <candidateList>
        <item>~</item>
      </candidateList>
      <explain>文本全半角错误。</explain>
      <paraID>7610B5CA</paraID>
      <start>3</start>
      <end>4</end>
      <status>ignored</status>
      <modifiedWord/>
      <trackRevisions>false</trackRevisions>
    </reviewItem>
    <reviewItem>
      <errorID>424c5614-b5d2-4b15-9048-d13a82ca7ded</errorID>
      <errorWord>～</errorWord>
      <group>L1_Format</group>
      <groupName>格式问题</groupName>
      <ability>L2_HalfPunc</ability>
      <abilityName>全半角检查</abilityName>
      <candidateList>
        <item>~</item>
      </candidateList>
      <explain>文本全半角错误。</explain>
      <paraID>44019F46</paraID>
      <start>3</start>
      <end>4</end>
      <status>ignored</status>
      <modifiedWord/>
      <trackRevisions>false</trackRevisions>
    </reviewItem>
    <reviewItem>
      <errorID>3f6dd1f6-b9fc-4897-ae37-bf06bff999e1</errorID>
      <errorWord>～</errorWord>
      <group>L1_Format</group>
      <groupName>格式问题</groupName>
      <ability>L2_HalfPunc</ability>
      <abilityName>全半角检查</abilityName>
      <candidateList>
        <item>~</item>
      </candidateList>
      <explain>文本全半角错误。</explain>
      <paraID>4D1F1FBA</paraID>
      <start>3</start>
      <end>4</end>
      <status>ignored</status>
      <modifiedWord/>
      <trackRevisions>false</trackRevisions>
    </reviewItem>
    <reviewItem>
      <errorID>c93ad67f-05bb-4d05-8490-1df464a6770b</errorID>
      <errorWord>～</errorWord>
      <group>L1_Format</group>
      <groupName>格式问题</groupName>
      <ability>L2_HalfPunc</ability>
      <abilityName>全半角检查</abilityName>
      <candidateList>
        <item>~</item>
      </candidateList>
      <explain>文本全半角错误。</explain>
      <paraID>725E7E02</paraID>
      <start>3</start>
      <end>4</end>
      <status>ignored</status>
      <modifiedWord/>
      <trackRevisions>false</trackRevisions>
    </reviewItem>
    <reviewItem>
      <errorID>2f309c01-b043-47ea-aea6-e573e447eb2d</errorID>
      <errorWord>～</errorWord>
      <group>L1_Format</group>
      <groupName>格式问题</groupName>
      <ability>L2_HalfPunc</ability>
      <abilityName>全半角检查</abilityName>
      <candidateList>
        <item>~</item>
      </candidateList>
      <explain>文本全半角错误。</explain>
      <paraID>38C76FF4</paraID>
      <start>3</start>
      <end>4</end>
      <status>ignored</status>
      <modifiedWord/>
      <trackRevisions>false</trackRevisions>
    </reviewItem>
    <reviewItem>
      <errorID>6395f858-6f5d-4f75-a3fc-fa6ed469ff06</errorID>
      <errorWord>&gt;</errorWord>
      <group>L1_Punc</group>
      <groupName>标点问题</groupName>
      <ability>L2_Punc</ability>
      <abilityName>标点符号检查</abilityName>
      <candidateList/>
      <explain/>
      <paraID>6AD68E2A</paraID>
      <start>0</start>
      <end>1</end>
      <status>ignored</status>
      <modifiedWord/>
      <trackRevisions>false</trackRevisions>
    </reviewItem>
    <reviewItem>
      <errorID>91b684e8-9289-4f29-a4a1-56c353a1130a</errorID>
      <errorWord>&gt;</errorWord>
      <group>L1_Punc</group>
      <groupName>标点问题</groupName>
      <ability>L2_Punc</ability>
      <abilityName>标点符号检查</abilityName>
      <candidateList/>
      <explain/>
      <paraID>48781312</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0ecbc2-685a-423e-bd40-368af8596528}">
  <ds:schemaRefs/>
</ds:datastoreItem>
</file>

<file path=docProps/app.xml><?xml version="1.0" encoding="utf-8"?>
<Properties xmlns="http://schemas.openxmlformats.org/officeDocument/2006/extended-properties" xmlns:vt="http://schemas.openxmlformats.org/officeDocument/2006/docPropsVTypes">
  <Pages>99</Pages>
  <Words>13153</Words>
  <Characters>13495</Characters>
  <TotalTime>3</TotalTime>
  <ScaleCrop>false</ScaleCrop>
  <LinksUpToDate>false</LinksUpToDate>
  <CharactersWithSpaces>13596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2026-03-05T02:55:00Z</dcterms:created>
  <dc:creator>WY001</dc:creator>
  <cp:lastModifiedBy>陈平</cp:lastModifiedBy>
  <dcterms:modified xsi:type="dcterms:W3CDTF">2026-09-01T08:27:13Z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2026-03-05T10:55:44Z</vt:filetime>
  </property>
  <property fmtid="{D5CDD505-2E9C-101B-9397-08002B2CF9AE}" pid="4" name="KSOProductBuildVer">
    <vt:lpwstr>2052-12.1.0.28043</vt:lpwstr>
  </property>
  <property fmtid="{D5CDD505-2E9C-101B-9397-08002B2CF9AE}" pid="5" name="ICV">
    <vt:lpwstr>856B22F2FBD9430896D28655A5D75275_13</vt:lpwstr>
  </property>
  <property fmtid="{D5CDD505-2E9C-101B-9397-08002B2CF9AE}" pid="6" name="KSOTemplateDocerSaveRecord">
    <vt:lpwstr>eyJoZGlkIjoiMWMxYjE0ODY0YzUzMzU2N2EyOTFkYjA4ZWVlNmY4NDEiLCJ1c2VySWQiOiI2NTgwMzMwNjkifQ==</vt:lpwstr>
  </property>
</Properties>
</file>