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6B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乌翠区202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年经济运行情况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分析</w:t>
      </w:r>
    </w:p>
    <w:p w14:paraId="0B94A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初以来，全区上下坚持以习近平新时代中国特色社会主义思想为指导，全面落实省、市各项决策部署，坚持稳中求进工作总基调，生产供给有力支撑，有效需求稳步扩大，高质量发展扎实推进，全区经济稳步回升向好态势持续巩固。</w:t>
      </w:r>
    </w:p>
    <w:p w14:paraId="04857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一、经济运行总体情况及主要特点</w:t>
      </w:r>
    </w:p>
    <w:p w14:paraId="3BB39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（一）经济总量稳步增长，产业结构持续优化</w:t>
      </w:r>
    </w:p>
    <w:p w14:paraId="219B1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步核算，全年全区地区生产总值（GDP）22.9亿元，同比增长2.0%，低于全市平均水平（2.1%）0.1个百分点，位居全市第7位。其中，第一产业增加值6.1亿元，增长2.9%，拉动经济增长0.9个百分点；第二产业增加值3.9亿元，下降4.4%，负向拉动经济增长0.9个百分点；第三产业增加值12.9亿元，增长3.9%，拉动经济增长2个百分点。三次产业结构为26.5：17.1:56.4，一、二产增加值比重比上年分别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7.6</w:t>
      </w:r>
      <w:r>
        <w:rPr>
          <w:rFonts w:hint="eastAsia" w:ascii="仿宋" w:hAnsi="仿宋" w:eastAsia="仿宋" w:cs="仿宋"/>
          <w:sz w:val="32"/>
          <w:szCs w:val="32"/>
        </w:rPr>
        <w:t>个、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1.8</w:t>
      </w:r>
      <w:r>
        <w:rPr>
          <w:rFonts w:hint="eastAsia" w:ascii="仿宋" w:hAnsi="仿宋" w:eastAsia="仿宋" w:cs="仿宋"/>
          <w:sz w:val="32"/>
          <w:szCs w:val="32"/>
        </w:rPr>
        <w:t>个百分点，其中:工业占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地区生产总值</w:t>
      </w:r>
      <w:r>
        <w:rPr>
          <w:rFonts w:hint="eastAsia" w:ascii="仿宋" w:hAnsi="仿宋" w:eastAsia="仿宋" w:cs="仿宋"/>
          <w:sz w:val="32"/>
          <w:szCs w:val="32"/>
        </w:rPr>
        <w:t>比重15.1%,比上年回落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</w:t>
      </w:r>
      <w:r>
        <w:rPr>
          <w:rFonts w:hint="eastAsia" w:ascii="仿宋" w:hAnsi="仿宋" w:eastAsia="仿宋" w:cs="仿宋"/>
          <w:sz w:val="32"/>
          <w:szCs w:val="32"/>
        </w:rPr>
        <w:t>个百分点；第三产业增加值比重比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提高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9.4</w:t>
      </w:r>
      <w:r>
        <w:rPr>
          <w:rFonts w:hint="eastAsia" w:ascii="仿宋" w:hAnsi="仿宋" w:eastAsia="仿宋" w:cs="仿宋"/>
          <w:sz w:val="32"/>
          <w:szCs w:val="32"/>
        </w:rPr>
        <w:t>个百分点。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服务业恢复性增长，</w:t>
      </w:r>
      <w:r>
        <w:rPr>
          <w:rFonts w:hint="eastAsia" w:ascii="仿宋" w:hAnsi="仿宋" w:eastAsia="仿宋" w:cs="仿宋"/>
          <w:sz w:val="32"/>
          <w:szCs w:val="32"/>
        </w:rPr>
        <w:t>七大行业均“六增一降”。其中，房地产业、营利性服务业、批发和零售业、住宿和餐饮业增加值增速高于第三产业增速，分别增长21.8%、12%、9%、5.9%，合计拉动第三产业增长2.8个百分点。</w:t>
      </w:r>
    </w:p>
    <w:p w14:paraId="09F7B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4E897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15240</wp:posOffset>
            </wp:positionV>
            <wp:extent cx="5466080" cy="2967990"/>
            <wp:effectExtent l="0" t="0" r="1270" b="381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608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32"/>
          <w:szCs w:val="32"/>
        </w:rPr>
        <w:t>（二）农业生产稳中有进，粮食产量再创新高</w:t>
      </w:r>
    </w:p>
    <w:p w14:paraId="00ABB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2024年，全区农林牧渔业总产值10.1亿元，按可比价格计算（下同）同比增长3.2%，比上年提高3个百分点，低于全市平均水平（3.7%）0.5个百分点，位居全市第5位。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种植业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拉动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有力，</w:t>
      </w:r>
      <w:r>
        <w:rPr>
          <w:rFonts w:hint="eastAsia" w:ascii="仿宋" w:hAnsi="仿宋" w:eastAsia="仿宋" w:cs="仿宋"/>
          <w:sz w:val="32"/>
          <w:szCs w:val="32"/>
        </w:rPr>
        <w:t>产值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5.8亿元，同比</w:t>
      </w:r>
      <w:r>
        <w:rPr>
          <w:rFonts w:hint="eastAsia" w:ascii="仿宋" w:hAnsi="仿宋" w:eastAsia="仿宋" w:cs="仿宋"/>
          <w:sz w:val="32"/>
          <w:szCs w:val="32"/>
        </w:rPr>
        <w:t>增长21.7%，占农林牧渔业总产值比重57%，拉动农林牧渔业总产值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增速</w:t>
      </w:r>
      <w:r>
        <w:rPr>
          <w:rFonts w:hint="eastAsia" w:ascii="仿宋" w:hAnsi="仿宋" w:eastAsia="仿宋" w:cs="仿宋"/>
          <w:sz w:val="32"/>
          <w:szCs w:val="32"/>
        </w:rPr>
        <w:t>18.2个百分点。粮食产量实现“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二十连丰</w:t>
      </w:r>
      <w:r>
        <w:rPr>
          <w:rFonts w:hint="eastAsia" w:ascii="仿宋" w:hAnsi="仿宋" w:eastAsia="仿宋" w:cs="仿宋"/>
          <w:color w:val="4874CB" w:themeColor="accent1"/>
          <w:sz w:val="32"/>
          <w:szCs w:val="32"/>
          <w14:textFill>
            <w14:solidFill>
              <w14:schemeClr w14:val="accent1"/>
            </w14:solidFill>
          </w14:textFill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，全年粮食总产量1.4万吨，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增长1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%；比上年增加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0.2万吨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主要受玉米播种面积扩大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万亩、增产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0.2万吨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带动。蔬菜及食用菌产量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%，瓜果类产量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同比增长5.3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畜牧业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下滑明显，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产值2亿元，同比下降22.1%，</w:t>
      </w:r>
      <w:r>
        <w:rPr>
          <w:rFonts w:hint="eastAsia" w:ascii="仿宋" w:hAnsi="仿宋" w:eastAsia="仿宋" w:cs="仿宋"/>
          <w:sz w:val="32"/>
          <w:szCs w:val="32"/>
        </w:rPr>
        <w:t>占农林牧渔业总产值比重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20.4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下拉农林牧渔业总产值增速13.8个百分点，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比上年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扩大16.1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个百分点。主要畜禽产品中，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四增一降一持平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羊、牛、生牛奶、活家禽分别增长6.6%、5.9%，2.3%，1.2%，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全年生猪出栏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万头，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同比下降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比上年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提高18.6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个百分点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禽蛋产量持平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。渔业、林业、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农林牧渔专业及辅助性活动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增速较快，分别增长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和5.8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%，分别占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农林牧渔业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总产值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比重0.9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54A0D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18415</wp:posOffset>
            </wp:positionV>
            <wp:extent cx="5611495" cy="2752090"/>
            <wp:effectExtent l="0" t="0" r="8255" b="10160"/>
            <wp:wrapTopAndBottom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32"/>
          <w:szCs w:val="32"/>
        </w:rPr>
        <w:t>（三）工业生产稳步回升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电力企业影响明显</w:t>
      </w:r>
    </w:p>
    <w:p w14:paraId="5239C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规模以上工业增加值同比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下降9.1</w:t>
      </w:r>
      <w:r>
        <w:rPr>
          <w:rFonts w:hint="eastAsia" w:ascii="仿宋" w:hAnsi="仿宋" w:eastAsia="仿宋" w:cs="仿宋"/>
          <w:sz w:val="32"/>
          <w:szCs w:val="32"/>
        </w:rPr>
        <w:t>%，比上年提高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个百分点，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低于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市平均水平</w:t>
      </w:r>
      <w:r>
        <w:rPr>
          <w:rFonts w:hint="eastAsia" w:ascii="仿宋" w:hAnsi="仿宋" w:eastAsia="仿宋" w:cs="仿宋"/>
          <w:sz w:val="32"/>
          <w:szCs w:val="32"/>
        </w:rPr>
        <w:t>（-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%）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5.1</w:t>
      </w:r>
      <w:r>
        <w:rPr>
          <w:rFonts w:hint="eastAsia" w:ascii="仿宋" w:hAnsi="仿宋" w:eastAsia="仿宋" w:cs="仿宋"/>
          <w:sz w:val="32"/>
          <w:szCs w:val="32"/>
        </w:rPr>
        <w:t>个百分点，增速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位居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位。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大门类看，</w:t>
      </w:r>
      <w:r>
        <w:rPr>
          <w:rFonts w:hint="eastAsia" w:ascii="仿宋" w:hAnsi="仿宋" w:eastAsia="仿宋" w:cs="仿宋"/>
          <w:sz w:val="32"/>
          <w:szCs w:val="32"/>
        </w:rPr>
        <w:t>制造业增加值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下降1.9</w:t>
      </w:r>
      <w:r>
        <w:rPr>
          <w:rFonts w:hint="eastAsia" w:ascii="仿宋" w:hAnsi="仿宋" w:eastAsia="仿宋" w:cs="仿宋"/>
          <w:sz w:val="32"/>
          <w:szCs w:val="32"/>
        </w:rPr>
        <w:t>%，占全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规上工业增加值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比重7.9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负向拉动</w:t>
      </w:r>
      <w:r>
        <w:rPr>
          <w:rFonts w:hint="eastAsia" w:ascii="仿宋" w:hAnsi="仿宋" w:eastAsia="仿宋" w:cs="仿宋"/>
          <w:sz w:val="32"/>
          <w:szCs w:val="32"/>
        </w:rPr>
        <w:t>规上工业增加值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增长0.1</w:t>
      </w:r>
      <w:r>
        <w:rPr>
          <w:rFonts w:hint="eastAsia" w:ascii="仿宋" w:hAnsi="仿宋" w:eastAsia="仿宋" w:cs="仿宋"/>
          <w:sz w:val="32"/>
          <w:szCs w:val="32"/>
        </w:rPr>
        <w:t>个百分点；电力热力燃气及水生产和供应业下降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9.7</w:t>
      </w:r>
      <w:r>
        <w:rPr>
          <w:rFonts w:hint="eastAsia" w:ascii="仿宋" w:hAnsi="仿宋" w:eastAsia="仿宋" w:cs="仿宋"/>
          <w:sz w:val="32"/>
          <w:szCs w:val="32"/>
        </w:rPr>
        <w:t>%，占全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规上工业增加值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比重92.1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负向拉动</w:t>
      </w:r>
      <w:r>
        <w:rPr>
          <w:rFonts w:hint="eastAsia" w:ascii="仿宋" w:hAnsi="仿宋" w:eastAsia="仿宋" w:cs="仿宋"/>
          <w:sz w:val="32"/>
          <w:szCs w:val="32"/>
        </w:rPr>
        <w:t>规上工业增加值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增长9</w:t>
      </w:r>
      <w:r>
        <w:rPr>
          <w:rFonts w:hint="eastAsia" w:ascii="仿宋" w:hAnsi="仿宋" w:eastAsia="仿宋" w:cs="仿宋"/>
          <w:sz w:val="32"/>
          <w:szCs w:val="32"/>
        </w:rPr>
        <w:t>个百分点。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产值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看，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全区规模以上工业总产值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14.4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亿元，下降10%。其中：华能伊春热电有限公司总产值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亿元，下降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10.4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%，占规上工业总产值比重9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%，负向拉动规上工业总产值增长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9.4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个百分点；黑龙江北货郎森林食品有限公司总产值0.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亿元，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下降1.6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%，占规上工业总产值比重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0.4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%；伊春药业有限公司总产值0.3亿元，增长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%，占规上工业总产值比重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%，拉动规上工业总产值增长0.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个百分点；伊春中盟生物科技股份有限公司总产值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0.5亿元，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增长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32.2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%，占规上工业总产值比重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%，拉动规上工业总产值增长0.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个百分点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4BD64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43815</wp:posOffset>
            </wp:positionV>
            <wp:extent cx="5674360" cy="3037205"/>
            <wp:effectExtent l="0" t="0" r="2540" b="1079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436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32"/>
          <w:szCs w:val="32"/>
        </w:rPr>
        <w:t>（四）投资规模持续扩大，三产投资增势强劲</w:t>
      </w:r>
    </w:p>
    <w:p w14:paraId="67607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固定资产投资同比增长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22.6</w:t>
      </w:r>
      <w:r>
        <w:rPr>
          <w:rFonts w:hint="eastAsia" w:ascii="仿宋" w:hAnsi="仿宋" w:eastAsia="仿宋" w:cs="仿宋"/>
          <w:sz w:val="32"/>
          <w:szCs w:val="32"/>
        </w:rPr>
        <w:t>%，高于全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%）5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.6</w:t>
      </w:r>
      <w:r>
        <w:rPr>
          <w:rFonts w:hint="eastAsia" w:ascii="仿宋" w:hAnsi="仿宋" w:eastAsia="仿宋" w:cs="仿宋"/>
          <w:sz w:val="32"/>
          <w:szCs w:val="32"/>
        </w:rPr>
        <w:t>个百分点，增速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位居全市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位。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从产业看，</w:t>
      </w:r>
      <w:r>
        <w:rPr>
          <w:rFonts w:hint="eastAsia" w:ascii="仿宋" w:hAnsi="仿宋" w:eastAsia="仿宋" w:cs="仿宋"/>
          <w:sz w:val="32"/>
          <w:szCs w:val="32"/>
        </w:rPr>
        <w:t>第一产业投资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占全部投资比重的3%，</w:t>
      </w:r>
      <w:r>
        <w:rPr>
          <w:rFonts w:hint="eastAsia" w:ascii="仿宋" w:hAnsi="仿宋" w:eastAsia="仿宋" w:cs="仿宋"/>
          <w:sz w:val="32"/>
          <w:szCs w:val="32"/>
        </w:rPr>
        <w:t>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</w:t>
      </w:r>
      <w:r>
        <w:rPr>
          <w:rFonts w:hint="eastAsia" w:ascii="仿宋" w:hAnsi="仿宋" w:eastAsia="仿宋" w:cs="仿宋"/>
          <w:sz w:val="32"/>
          <w:szCs w:val="32"/>
        </w:rPr>
        <w:t>固定资产投资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</w:rPr>
        <w:t>3个百分点；第二产业投资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增长23.2%，占全部投资比重40.7%，</w:t>
      </w:r>
      <w:r>
        <w:rPr>
          <w:rFonts w:hint="eastAsia" w:ascii="仿宋" w:hAnsi="仿宋" w:eastAsia="仿宋" w:cs="仿宋"/>
          <w:sz w:val="32"/>
          <w:szCs w:val="32"/>
        </w:rPr>
        <w:t>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</w:t>
      </w:r>
      <w:r>
        <w:rPr>
          <w:rFonts w:hint="eastAsia" w:ascii="仿宋" w:hAnsi="仿宋" w:eastAsia="仿宋" w:cs="仿宋"/>
          <w:sz w:val="32"/>
          <w:szCs w:val="32"/>
        </w:rPr>
        <w:t>固定资产投资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增长9.3</w:t>
      </w:r>
      <w:r>
        <w:rPr>
          <w:rFonts w:hint="eastAsia" w:ascii="仿宋" w:hAnsi="仿宋" w:eastAsia="仿宋" w:cs="仿宋"/>
          <w:sz w:val="32"/>
          <w:szCs w:val="32"/>
        </w:rPr>
        <w:t>个百分点；第三产业投资增长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17.2</w:t>
      </w:r>
      <w:r>
        <w:rPr>
          <w:rFonts w:hint="eastAsia" w:ascii="仿宋" w:hAnsi="仿宋" w:eastAsia="仿宋" w:cs="仿宋"/>
          <w:sz w:val="32"/>
          <w:szCs w:val="32"/>
        </w:rPr>
        <w:t>%，占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全部投资比重56.9</w:t>
      </w:r>
      <w:r>
        <w:rPr>
          <w:rFonts w:hint="eastAsia" w:ascii="仿宋" w:hAnsi="仿宋" w:eastAsia="仿宋" w:cs="仿宋"/>
          <w:sz w:val="32"/>
          <w:szCs w:val="32"/>
        </w:rPr>
        <w:t>%，拉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</w:t>
      </w:r>
      <w:r>
        <w:rPr>
          <w:rFonts w:hint="eastAsia" w:ascii="仿宋" w:hAnsi="仿宋" w:eastAsia="仿宋" w:cs="仿宋"/>
          <w:sz w:val="32"/>
          <w:szCs w:val="32"/>
        </w:rPr>
        <w:t>固定资产投资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增长10.3</w:t>
      </w:r>
      <w:r>
        <w:rPr>
          <w:rFonts w:hint="eastAsia" w:ascii="仿宋" w:hAnsi="仿宋" w:eastAsia="仿宋" w:cs="仿宋"/>
          <w:sz w:val="32"/>
          <w:szCs w:val="32"/>
        </w:rPr>
        <w:t>个百分点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从构成看，</w:t>
      </w:r>
      <w:r>
        <w:rPr>
          <w:rFonts w:hint="eastAsia" w:ascii="仿宋" w:hAnsi="仿宋" w:eastAsia="仿宋" w:cs="仿宋"/>
          <w:sz w:val="32"/>
          <w:szCs w:val="32"/>
        </w:rPr>
        <w:t>建筑安装工程投资受基础设施带动，增长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27.6</w:t>
      </w:r>
      <w:r>
        <w:rPr>
          <w:rFonts w:hint="eastAsia" w:ascii="仿宋" w:hAnsi="仿宋" w:eastAsia="仿宋" w:cs="仿宋"/>
          <w:sz w:val="32"/>
          <w:szCs w:val="32"/>
        </w:rPr>
        <w:t>%，占全部投资的8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.9%；拉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</w:t>
      </w:r>
      <w:r>
        <w:rPr>
          <w:rFonts w:hint="eastAsia" w:ascii="仿宋" w:hAnsi="仿宋" w:eastAsia="仿宋" w:cs="仿宋"/>
          <w:sz w:val="32"/>
          <w:szCs w:val="32"/>
        </w:rPr>
        <w:t>固定资产投资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增长23.8</w:t>
      </w:r>
      <w:r>
        <w:rPr>
          <w:rFonts w:hint="eastAsia" w:ascii="仿宋" w:hAnsi="仿宋" w:eastAsia="仿宋" w:cs="仿宋"/>
          <w:sz w:val="32"/>
          <w:szCs w:val="32"/>
        </w:rPr>
        <w:t>个百分点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其他费用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增长681.7</w:t>
      </w:r>
      <w:r>
        <w:rPr>
          <w:rFonts w:hint="eastAsia" w:ascii="仿宋" w:hAnsi="仿宋" w:eastAsia="仿宋" w:cs="仿宋"/>
          <w:sz w:val="32"/>
          <w:szCs w:val="32"/>
        </w:rPr>
        <w:t>%。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从主体看，</w:t>
      </w:r>
      <w:r>
        <w:rPr>
          <w:rFonts w:hint="eastAsia" w:ascii="仿宋" w:hAnsi="仿宋" w:eastAsia="仿宋" w:cs="仿宋"/>
          <w:sz w:val="32"/>
          <w:szCs w:val="32"/>
        </w:rPr>
        <w:t>受市政设施、公共管理等民生项目带动，国有投资增长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91.4</w:t>
      </w:r>
      <w:r>
        <w:rPr>
          <w:rFonts w:hint="eastAsia" w:ascii="仿宋" w:hAnsi="仿宋" w:eastAsia="仿宋" w:cs="仿宋"/>
          <w:sz w:val="32"/>
          <w:szCs w:val="32"/>
        </w:rPr>
        <w:t>%，占固定资产投资的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比重99.9</w:t>
      </w:r>
      <w:r>
        <w:rPr>
          <w:rFonts w:hint="eastAsia" w:ascii="仿宋" w:hAnsi="仿宋" w:eastAsia="仿宋" w:cs="仿宋"/>
          <w:sz w:val="32"/>
          <w:szCs w:val="32"/>
        </w:rPr>
        <w:t>%；民间投资下降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99.8</w:t>
      </w:r>
      <w:r>
        <w:rPr>
          <w:rFonts w:hint="eastAsia" w:ascii="仿宋" w:hAnsi="仿宋" w:eastAsia="仿宋" w:cs="仿宋"/>
          <w:sz w:val="32"/>
          <w:szCs w:val="32"/>
        </w:rPr>
        <w:t>%，占固定资产投资的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比重0.1</w:t>
      </w:r>
      <w:r>
        <w:rPr>
          <w:rFonts w:hint="eastAsia" w:ascii="仿宋" w:hAnsi="仿宋" w:eastAsia="仿宋" w:cs="仿宋"/>
          <w:sz w:val="32"/>
          <w:szCs w:val="32"/>
        </w:rPr>
        <w:t>%。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从领域看，</w:t>
      </w:r>
      <w:r>
        <w:rPr>
          <w:rFonts w:hint="eastAsia" w:ascii="仿宋" w:hAnsi="仿宋" w:eastAsia="仿宋" w:cs="仿宋"/>
          <w:sz w:val="32"/>
          <w:szCs w:val="32"/>
        </w:rPr>
        <w:t>基础设施投资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国家口径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31.6</w:t>
      </w:r>
      <w:r>
        <w:rPr>
          <w:rFonts w:hint="eastAsia" w:ascii="仿宋" w:hAnsi="仿宋" w:eastAsia="仿宋" w:cs="仿宋"/>
          <w:sz w:val="32"/>
          <w:szCs w:val="32"/>
        </w:rPr>
        <w:t>%，拉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动固定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投资增长9.3</w:t>
      </w:r>
      <w:r>
        <w:rPr>
          <w:rFonts w:hint="eastAsia" w:ascii="仿宋" w:hAnsi="仿宋" w:eastAsia="仿宋" w:cs="仿宋"/>
          <w:sz w:val="32"/>
          <w:szCs w:val="32"/>
        </w:rPr>
        <w:t>个百分点；制造业投资下降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62.9</w:t>
      </w:r>
      <w:r>
        <w:rPr>
          <w:rFonts w:hint="eastAsia" w:ascii="仿宋" w:hAnsi="仿宋" w:eastAsia="仿宋" w:cs="仿宋"/>
          <w:sz w:val="32"/>
          <w:szCs w:val="32"/>
        </w:rPr>
        <w:t>%，下拉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固定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投资增长15.6</w:t>
      </w:r>
      <w:r>
        <w:rPr>
          <w:rFonts w:hint="eastAsia" w:ascii="仿宋" w:hAnsi="仿宋" w:eastAsia="仿宋" w:cs="仿宋"/>
          <w:sz w:val="32"/>
          <w:szCs w:val="32"/>
        </w:rPr>
        <w:t>个百分点。全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商品房销售面积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同比增长281.5%。</w:t>
      </w:r>
    </w:p>
    <w:p w14:paraId="1F4F7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10795</wp:posOffset>
            </wp:positionV>
            <wp:extent cx="5615305" cy="2569210"/>
            <wp:effectExtent l="0" t="0" r="4445" b="2540"/>
            <wp:wrapTopAndBottom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32"/>
          <w:szCs w:val="32"/>
        </w:rPr>
        <w:t>（五）消费市场较快恢复，市场销售逐步向好</w:t>
      </w:r>
    </w:p>
    <w:p w14:paraId="77830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社会消费品零售总额同比增长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2.7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</w:t>
      </w:r>
      <w:r>
        <w:rPr>
          <w:rFonts w:hint="eastAsia" w:ascii="仿宋" w:hAnsi="仿宋" w:eastAsia="仿宋" w:cs="仿宋"/>
          <w:sz w:val="32"/>
          <w:szCs w:val="32"/>
        </w:rPr>
        <w:t>于全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2.6</w:t>
      </w:r>
      <w:r>
        <w:rPr>
          <w:rFonts w:hint="eastAsia" w:ascii="仿宋" w:hAnsi="仿宋" w:eastAsia="仿宋" w:cs="仿宋"/>
          <w:sz w:val="32"/>
          <w:szCs w:val="32"/>
        </w:rPr>
        <w:t>%）0.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个百分点，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位居全市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位，位次与上季度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前移1位</w:t>
      </w:r>
      <w:r>
        <w:rPr>
          <w:rFonts w:hint="eastAsia" w:ascii="仿宋" w:hAnsi="仿宋" w:eastAsia="仿宋" w:cs="仿宋"/>
          <w:sz w:val="32"/>
          <w:szCs w:val="32"/>
        </w:rPr>
        <w:t>，较去年同期前移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销售单位所在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看，</w:t>
      </w:r>
      <w:r>
        <w:rPr>
          <w:rFonts w:hint="eastAsia" w:ascii="仿宋" w:hAnsi="仿宋" w:eastAsia="仿宋" w:cs="仿宋"/>
          <w:sz w:val="32"/>
          <w:szCs w:val="32"/>
        </w:rPr>
        <w:t>城镇消费品零售额增长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2.4</w:t>
      </w:r>
      <w:r>
        <w:rPr>
          <w:rFonts w:hint="eastAsia" w:ascii="仿宋" w:hAnsi="仿宋" w:eastAsia="仿宋" w:cs="仿宋"/>
          <w:sz w:val="32"/>
          <w:szCs w:val="32"/>
        </w:rPr>
        <w:t>%，乡村消费品零售额增长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9.2</w:t>
      </w:r>
      <w:r>
        <w:rPr>
          <w:rFonts w:hint="eastAsia" w:ascii="仿宋" w:hAnsi="仿宋" w:eastAsia="仿宋" w:cs="仿宋"/>
          <w:sz w:val="32"/>
          <w:szCs w:val="32"/>
        </w:rPr>
        <w:t>%，乡村增速连续高于城镇。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从限上消费看，</w:t>
      </w:r>
      <w:r>
        <w:rPr>
          <w:rFonts w:hint="eastAsia" w:ascii="仿宋" w:hAnsi="仿宋" w:eastAsia="仿宋" w:cs="仿宋"/>
          <w:sz w:val="32"/>
          <w:szCs w:val="32"/>
        </w:rPr>
        <w:t>商品零售持续增长。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</w:t>
      </w:r>
      <w:r>
        <w:rPr>
          <w:rFonts w:hint="eastAsia" w:ascii="仿宋" w:hAnsi="仿宋" w:eastAsia="仿宋" w:cs="仿宋"/>
          <w:sz w:val="32"/>
          <w:szCs w:val="32"/>
        </w:rPr>
        <w:t>全区限额以上单位消费品零售总额2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.3</w:t>
      </w:r>
      <w:r>
        <w:rPr>
          <w:rFonts w:hint="eastAsia" w:ascii="仿宋" w:hAnsi="仿宋" w:eastAsia="仿宋" w:cs="仿宋"/>
          <w:sz w:val="32"/>
          <w:szCs w:val="32"/>
        </w:rPr>
        <w:t>亿元，同比增长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15.2</w:t>
      </w:r>
      <w:r>
        <w:rPr>
          <w:rFonts w:hint="eastAsia" w:ascii="仿宋" w:hAnsi="仿宋" w:eastAsia="仿宋" w:cs="仿宋"/>
          <w:sz w:val="32"/>
          <w:szCs w:val="32"/>
        </w:rPr>
        <w:t>%。其中，餐饮收入0.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亿元，增长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.1%；商品零售额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亿元，增长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16.4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。其中：汽车类零售额下降1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%，负向拉动限上社零额增长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2301.8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个百分点；石油及制品类商品零售额增长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%，拉动限上社零额增长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118.7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个百分点。饮料类零售额增长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.3%，拉动限上社零额增长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9589.3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个百分点。</w:t>
      </w:r>
    </w:p>
    <w:p w14:paraId="66915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（六）财税持续增长，要素指标稳定支撑</w:t>
      </w:r>
    </w:p>
    <w:p w14:paraId="7A310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全年全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一般公共预算收入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</w:t>
      </w:r>
      <w:r>
        <w:rPr>
          <w:rFonts w:hint="eastAsia" w:ascii="仿宋" w:hAnsi="仿宋" w:eastAsia="仿宋" w:cs="仿宋"/>
          <w:sz w:val="32"/>
          <w:szCs w:val="32"/>
        </w:rPr>
        <w:t>亿元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12.4</w:t>
      </w:r>
      <w:r>
        <w:rPr>
          <w:rFonts w:hint="eastAsia" w:ascii="仿宋" w:hAnsi="仿宋" w:eastAsia="仿宋" w:cs="仿宋"/>
          <w:sz w:val="32"/>
          <w:szCs w:val="32"/>
        </w:rPr>
        <w:t>%，其中，税收收入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0.9</w:t>
      </w:r>
      <w:r>
        <w:rPr>
          <w:rFonts w:hint="eastAsia" w:ascii="仿宋" w:hAnsi="仿宋" w:eastAsia="仿宋" w:cs="仿宋"/>
          <w:sz w:val="32"/>
          <w:szCs w:val="32"/>
        </w:rPr>
        <w:t>亿元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增长1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 w:cs="仿宋"/>
          <w:sz w:val="32"/>
          <w:szCs w:val="32"/>
        </w:rPr>
        <w:t>.8%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  <w:r>
        <w:rPr>
          <w:rFonts w:hint="eastAsia" w:ascii="仿宋" w:hAnsi="仿宋" w:eastAsia="仿宋" w:cs="仿宋"/>
          <w:sz w:val="32"/>
          <w:szCs w:val="32"/>
        </w:rPr>
        <w:t>非税收入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</w:t>
      </w:r>
      <w:r>
        <w:rPr>
          <w:rFonts w:hint="eastAsia" w:ascii="仿宋" w:hAnsi="仿宋" w:eastAsia="仿宋" w:cs="仿宋"/>
          <w:sz w:val="32"/>
          <w:szCs w:val="32"/>
        </w:rPr>
        <w:t>亿元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157.5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18.2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11BE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全区市场主体总量5533户，同比增长0.3%。累计新登记市场主体714户，增长1.8%,其中:新登记企业157户，减少7.6%；新登记个体工商户557户，增长5.4%。</w:t>
      </w:r>
    </w:p>
    <w:p w14:paraId="7C44E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实际利用内资增长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29.4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低于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市平均水平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%）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6.4</w:t>
      </w:r>
      <w:r>
        <w:rPr>
          <w:rFonts w:hint="eastAsia" w:ascii="仿宋" w:hAnsi="仿宋" w:eastAsia="仿宋" w:cs="仿宋"/>
          <w:sz w:val="32"/>
          <w:szCs w:val="32"/>
        </w:rPr>
        <w:t>个百分点，增速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位居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位。</w:t>
      </w:r>
    </w:p>
    <w:p w14:paraId="30F06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存在问题</w:t>
      </w:r>
    </w:p>
    <w:p w14:paraId="5A368B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（一）农业生产结构不协调，畜牧生产压力大</w:t>
      </w:r>
    </w:p>
    <w:p w14:paraId="39D250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种植业和畜牧业产值合计占全区农林牧渔业总产值的比重达77.4%，拉动全区农林牧渔业总产值增长4.3个百分点，是农村经济的主要支撑。目前，市场波动不利于形成稳定的生产预期和消费预期，同时，养殖成本居高不下、养殖意愿不断降低也成为制约畜牧业发展的重要因素。</w:t>
      </w:r>
    </w:p>
    <w:p w14:paraId="5A660A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工业增长基础还不牢固，主要行业拉动力不足</w:t>
      </w:r>
    </w:p>
    <w:p w14:paraId="3906E4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电力、热力、燃气及水的供应业是全区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规上工业主导产业，该行业产值占全部规上工业产值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90%以上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，电力、热力、燃气及水的供应业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正增长，该行业为拉动规上工业主要动力，202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年初以来该行业受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上网电量影响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，行业各月累计增加值均负增长，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下拉全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规上工业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增加值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增速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主要行业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 w14:paraId="59864D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（三）民间投资支撑不足</w:t>
      </w:r>
    </w:p>
    <w:p w14:paraId="78A91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2024年，全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民间投资同比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下降99.8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%，占全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固定资产投资比重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1%，占比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去年同期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降低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个百分点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负向拉动全部投资35.9个百分点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0C2A2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意见与建议</w:t>
      </w:r>
      <w:bookmarkStart w:id="0" w:name="_GoBack"/>
      <w:bookmarkEnd w:id="0"/>
    </w:p>
    <w:p w14:paraId="68716C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（一）推动工业稳增长提质效</w:t>
      </w:r>
    </w:p>
    <w:p w14:paraId="44BDD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一是持续强化重点行业和企业监测，发挥优质企业“头雁作用”。紧盯电力工业重点行业监测分析，密切关注重点企业生产情况，准确掌握企业生产经营情况，及时反映工业经济发展的苗头性、趋势性情况，并了解帮助企业协调解决生产经营中的问题困难，精准施策推动稳产增产。二是加快工业企业培育。各行业主管部门要主动适应新形势下的经济工作，逐月排查、核实符合新建投产纳规资格的项目和企业，建立健全企业培育动态管理机制，做到重点关注、培育年内可以达规的企业，实时监测有望达规的企业，尽快实现成熟一个、申报一个、入库一个，为规上工业经济注入“新鲜血液”。三是推动产业结构转型升级。大力倡导企业发展，做到人无我有，人有我新，人新我特，人特我强，真正把全区工业企业做大做强，形成以自我创新提升产业竞争力，以创新提升需求，刺激供给，推动产业结构调整，全方面提升区域经济发展新动力。</w:t>
      </w:r>
    </w:p>
    <w:p w14:paraId="0AA726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全力以赴抓项目促投资</w:t>
      </w:r>
    </w:p>
    <w:p w14:paraId="7252EC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一是提信心，持续激发民间投资活力。持续抓好一揽子增量政策的落地落实，鼓励民间投资参与到政府投资的重点项目和产业项目建设上来，使政府投资发挥更大的社会效益；进一步激发民间投资的积极性，不断拓展有效投资空间，积极扶持民间投资在更宽领域、更高层次发展，推动投资平稳增长。二是优服务，抓实投资项目建设进度。加强部门协作，简化审批流程，打破壁垒，为项目快速落地开辟“绿色通道”，提供高效政务服务，加速项目从蓝图到现实的转变；加强要素保障，积极推动停缓建项目尽快复工，全力推动重点项目建设提速提质提量，持续扩大有效投资。三是早谋划，抓实投资项目储备工作。做实、做深项目储备工作，加强储备项目跟踪评估，确保储备项目按计划推进，做到重点项目洽谈促签约、签约促开工、开工促入库，切实提高项目落地转化率，确保项目有序接替。</w:t>
      </w:r>
    </w:p>
    <w:p w14:paraId="2334CA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附注：</w:t>
      </w:r>
    </w:p>
    <w:p w14:paraId="65FEAF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（1）根据我国国民经济核算制度和第五次全国经济普查结果，2023年乌翠区地区生产总值修订22.2亿元。</w:t>
      </w:r>
    </w:p>
    <w:p w14:paraId="1D3ACF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（2）国内生产总值及其分类项目增长速度按不变价计算，规模以上工业增加值及其分类项目增长速度按可比价计算，均为实际增长速度；其他指标除特殊说明外，按现价计算，为名义增长速度。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EDCC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B0120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B0120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B6557"/>
    <w:rsid w:val="053F517D"/>
    <w:rsid w:val="06B226F6"/>
    <w:rsid w:val="12C75EAF"/>
    <w:rsid w:val="1478624B"/>
    <w:rsid w:val="1CE91CB2"/>
    <w:rsid w:val="2B7B6557"/>
    <w:rsid w:val="30C61BCC"/>
    <w:rsid w:val="39FD74D4"/>
    <w:rsid w:val="3FA54B7E"/>
    <w:rsid w:val="3FF26860"/>
    <w:rsid w:val="48906282"/>
    <w:rsid w:val="524F2BF7"/>
    <w:rsid w:val="5681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3348</Words>
  <Characters>3820</Characters>
  <Lines>0</Lines>
  <Paragraphs>0</Paragraphs>
  <TotalTime>0</TotalTime>
  <ScaleCrop>false</ScaleCrop>
  <LinksUpToDate>false</LinksUpToDate>
  <CharactersWithSpaces>3820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2025-01-23T12:21:00Z</dcterms:created>
  <dc:creator>侯裕达</dc:creator>
  <cp:lastModifiedBy>侯裕达</cp:lastModifiedBy>
  <cp:lastPrinted>2025-02-06T09:14:00Z</cp:lastPrinted>
  <dcterms:modified xsi:type="dcterms:W3CDTF">2025-02-11T06:16:00Z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E78C7611CD2C46C994BE48DA63B148B3_13</vt:lpwstr>
  </property>
  <property fmtid="{D5CDD505-2E9C-101B-9397-08002B2CF9AE}" pid="4" name="KSOTemplateDocerSaveRecord">
    <vt:lpwstr>eyJoZGlkIjoiYTM0ZmNlYzYwYjkwNmY4NWFkNmQ1NDZjNzEyNTVmNjgiLCJ1c2VySWQiOiI3MjgwNjg2NzMifQ==</vt:lpwstr>
  </property>
</Properties>
</file>